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15E" w:rsidRDefault="00EF715E" w:rsidP="00EF715E">
      <w:pPr>
        <w:pStyle w:val="a5"/>
        <w:shd w:val="clear" w:color="auto" w:fill="FFFFFF"/>
        <w:spacing w:before="0" w:beforeAutospacing="0" w:after="0" w:afterAutospacing="0"/>
        <w:jc w:val="center"/>
        <w:rPr>
          <w:color w:val="333333"/>
        </w:rPr>
      </w:pPr>
      <w:r>
        <w:rPr>
          <w:rFonts w:hint="eastAsia"/>
          <w:b/>
          <w:bCs/>
          <w:color w:val="333333"/>
          <w:sz w:val="36"/>
          <w:szCs w:val="36"/>
        </w:rPr>
        <w:t>中华人民共和国财政部令</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 xml:space="preserve">第　</w:t>
      </w:r>
      <w:r>
        <w:rPr>
          <w:rFonts w:hint="eastAsia"/>
          <w:b/>
          <w:bCs/>
          <w:color w:val="333333"/>
        </w:rPr>
        <w:t>81</w:t>
      </w:r>
      <w:r>
        <w:rPr>
          <w:rFonts w:hint="eastAsia"/>
          <w:color w:val="333333"/>
        </w:rPr>
        <w:t xml:space="preserve">　号</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《基本建设财务规则》已经财政部部务会议审议通过，现予公布，自2016年9月1日起施行。</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                                                   </w:t>
      </w:r>
      <w:r>
        <w:rPr>
          <w:rFonts w:hint="eastAsia"/>
          <w:color w:val="333333"/>
        </w:rPr>
        <w:t xml:space="preserve">                             </w:t>
      </w:r>
      <w:bookmarkStart w:id="0" w:name="_GoBack"/>
      <w:bookmarkEnd w:id="0"/>
      <w:r>
        <w:rPr>
          <w:rFonts w:hint="eastAsia"/>
          <w:color w:val="333333"/>
        </w:rPr>
        <w:t>部　长　 楼继伟</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                                                       </w:t>
      </w:r>
      <w:r>
        <w:rPr>
          <w:rFonts w:hint="eastAsia"/>
          <w:color w:val="333333"/>
        </w:rPr>
        <w:t xml:space="preserve">                          </w:t>
      </w:r>
      <w:r>
        <w:rPr>
          <w:rFonts w:hint="eastAsia"/>
          <w:color w:val="333333"/>
        </w:rPr>
        <w:t>2016年4月26日</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b/>
          <w:bCs/>
          <w:color w:val="333333"/>
          <w:sz w:val="36"/>
          <w:szCs w:val="36"/>
        </w:rPr>
        <w:t>基 本 建 设 财 务 规 则</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第一章　总　　则</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为了规范基本建设财务行为，加强基本建设财务管理，提高财政资金使用效益，保障财政资金安全，制定本规则。</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本规则适用于行政事业单位的基本建设财务行为，以及国有和国有控股企业使用财政资金的基本建设财务行为。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基本建设是指以新增工程效益或者扩大生产能力为主要目的的新建、续建、改扩建、迁建、大型维修改造工程及相关工作。</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基本建设财务管理应当严格执行国家有关法律、行政法规和财务规章制度，坚持勤俭节约、量力而行、讲求实效，正确处理资金使用效益与资金供给的关系。</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基本建设财务管理的主要任务是：</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（一）依法筹集和使用基本建设项目（以下简称项目）建设资金，防范财务风险；</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（二）合理编制项目资金预算，加强预算审核，严格预算执行；</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（三）加强项目核算管理，规范和控制建设成本；</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（四）及时准确编制项目竣工财务决算，全面反映基本建设财务状况；</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（五）加强对基本建设活动的财务控制和监督，实施绩效评价。</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财政部负责制定并指导实施基本建设财务管理制度。</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各级财政部门负责对基本建设财务活动实施全过程管理和监督。</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各级项目主管部门（含一级预算单位，下同）应当会同财政部门，加强本部门或者本行业基本建设财务管理和监督，指导和督促项目建设单位做好基本建设财务管理的基础工作。</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项目建设单位应当做好以下基本建设财务管理的基础工作：</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（一）建立、健全本单位基本建设财务管理制度和内部控制制度；</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（二）按项目单独核算，按照规定将核算情况纳入单位账簿和财务报表；</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（三）按照规定编制项目资金预算，根据批准的项目概(预)算做好核算管理，及时掌握建设进度，定期进行财产物资清查，做好核算资料档案管理；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（四）按照规定向财政部门、项目主管部门报送基本建设财务报表和资料；</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（五）及时办理工程价款结算，编报项目竣工财务决算，办理资产交付使用手续；</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（六）财政部门和项目主管部门要求的其他工作。</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按照规定实行代理记账和项目代建制的，代理记账单位和代建单位应当配合项目建设单位做好项目财务管理的基础工作。</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第二章　建设资金筹集与使用管理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建设资金是指为满足项目建设需要筹集和使用的资金,按照来源分为财政资金和自筹资金。其中，财政资金包括一般公共预算安排的基本建设投资资金和其他专项建设资金，政府性基金预算安排的建设资金，政府依法举债取得的建设资金，以及国有资本经营预算安排的基本建设项目资金。</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财政资金管理应当遵循专款专用原则，严格按照批准的项目预算执行，不得挤占挪用。</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财政部门应当会同项目主管部门加强项目财政资金的监督管理。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财政资金的支付，按照国库集中支付制度有关规定和合同约定，综合考虑项目财政资金预算、建设进度等因素执行。</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项目建设单位应当根据批准的项目概（预）算、年度投资计划和预算、建设进度等控制项目投资规模。</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项目建设单位在决策阶段应当明确建设资金来源，落实建设资金，合理控制筹资成本。非经营性项目建设资金按照国家有关规定筹集；经营性项目在防范风险的前提下，可以多渠道筹集。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具体项目的经营性和非经营性性质划分，由项目主管部门会同财政部门根据项目建设目的、运营模式和盈利能力等因素核定。</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核定为经营性项目的，项目建设单位应当按照国家有关固定资产投资项目资本管理的规定，筹集一定比例的非债务性资金作为项目资本。</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在项目建设期间，项目资本的投资者除依法转让、依法终止外，不得以任何方式抽走出资。</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经营性项目的投资者以实物、知识产权、土地使用权等非货币财产作价出资的，应当委托具有专业能力的资产评估机构依法评估作价。</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项目建设单位取得的财政资金，区分以下情况处理：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经营性项目具备企业法人资格的，按照国家有关企业财务规定处理。不具备企业法人资格的，属于国家直接投资的，作为项目国家资本管理；属于投资补助的，国家拨款时对权属有规定的，按照规定执行，没有规定的，由项目投资者享有；属于有偿性资助的，作为项目负债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经营性项目取得的财政贴息，项目建设期间收到的，冲减项目建设成本；项目竣工后收到的，按照国家财务、会计制度的有关规定处理。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非经营性项目取得的财政资金，按照国家行政、事业单位财务、会计制度的有关规定处理。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项目收到的社会捐赠，有捐赠协议或者捐赠者有指定要求的，按照协议或者要求处理；无协议和要求的，按照国家财务、会计制度的有关规定处理。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第三章　预算管理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项目建设单位编制项目预算应当以批准的概算为基础,按照项目实际建设资金需求编制，并控制在批准的概算总投资规模、范围和标准以内。</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项目建设单位应当细化项目预算,分解项目各年度预算和财政资金预算需求。涉及政府采购的，应当按照规定编制政府采购预算。</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项目资金预算应当纳入项目主管部门的部门预算或者国有资本经营预算统一管理。列入部门预算的项目，一般应当从项目库中产生。</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项目建设单位应当根据项目概算、建设工期、年度投资和自筹资金计划、以前年度项目各类资金结转情况等，提出项目财政资金预算建议数，按照规定程序经项目主管部门审核汇总报财政部门。</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项目建设单位根据财政部门下达的预算控制数编制预算，由项目主管部门审核汇总报财政部门，经法定程序审核批复后执行。</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项目建设单位应当严格执行项目财政资金预算。对发生停建、缓建、迁移、合并、分立、重大设计变更等变动事项和其他特殊情况确需调整的项目，项目建设单位应当按照规定程序报项目主管部门审核后，向财政部门申请调整项目财政资金预算。</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财政部门应当加强财政资金预算审核和执行管理，严格预算约束。</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财政资金预算安排应当以项目以前年度财政资金预算执行情况、项目预算评审意见和绩效评价结果作为重要依据。项目财政资金未按预算要求执行的，按照有关规定调减或者收回。</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项目主管部门应当按照预算管理规定,督促和指导项目建设单位做好项目财政资金预算编制、执行和调整，严格审核项目财政资金预算、细化预算和预算调整的申请，及时掌握项目预算执行动态，跟踪分析项目进度，按照要求向财政部门报送执行情况。</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第四章　建设成本管理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建设成本是指按照批准的建设内容由项目建设资金安排的各项支出，包括建筑安装工程投资支出、设备投资支出、待摊投资支出和其他投资支出。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建筑安装工程投资支出是指项目建设单位按照批准的建设内容发生的建筑工程和安装工程的实际成本。</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设备投资支出是指项目建设单位按照批准的建设内容发生的各种设备的实际成本。</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待摊投资支出是指项目建设单位按照批准的建设内容发生的，应当分摊计入相关资产价值的各项费用和税金支出。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其他投资支出是指项目建设单位按照批准的建设内容发生的房屋购置支出，基本畜禽、林木等的购置、饲养、培育支出，办公生活用家具、器具购置支出，软件研发和不能计入设备投资的软件购置等支出。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项目建设单位应当严格控制建设成本的范围、标准和支出责任，以下支出不得列入项目建设成本：</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（一）超过批准建设内容发生的支出；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（二）不符合合同协议的支出；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（三）非法收费和摊派；</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（四）无发票或者发票项目不全、无审批手续、无责任人员签字的支出；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（五）因设计单位、施工单位、供货单位等原因造成的工程报废等损失，以及未按照规定报经批准的损失；</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（六）项目符合规定的验收条件之日起3个月后发生的支出；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（七）其他不属于本项目应当负担的支出。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财政资金用于项目前期工作经费部分，在项目批准建设后，列入项目建设成本。</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没有被批准或者批准后又被取消的项目，财政资金如有结余，全部缴回国库。</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第五章　基建收入管理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基建收入是指在基本建设过程中形成的各项工程建设副产品变价收入、负荷试车和试运行收入以及其他收入。</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工程建设副产品变价收入包括矿山建设中的矿产品收入，油气、油田钻井建设中的原油气收入，林业工程建设中的路影材收入，以及其他项目建设过程中产生或者伴生的副产品、试验产品的变价收入。</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负荷试车和试运行收入包括水利、电力建设移交生产前的供水、供电、供热收入，原材料、机电轻纺、农林建设移交生产前的产品收入，交通临时运营收入等。</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其他收入包括项目总体建设尚未完成或者移交生产，但其中部分工程简易投产而发生的经营性收入等。</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符合验收条件而未按照规定及时办理竣工验收的经营性项目所实现的收入，不得作为项目基建收入管理。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项目所取得的基建收入扣除相关费用并依法纳税后，其净收入按照国家财务、会计制度的有关规定处理。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项目发生的各项索赔、违约金等收入，首先用于弥补工程损失，结余部分按照国家财务、会计制度的有关规定处理。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第六章　工程价款结算管理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工程价款结算是指依据基本建设工程发承包合同等进行工程预付款、进度款、竣工价款结算的活动。</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第二十八条</w:t>
      </w:r>
      <w:r>
        <w:rPr>
          <w:rFonts w:hint="eastAsia"/>
          <w:color w:val="333333"/>
        </w:rPr>
        <w:t xml:space="preserve">　项目建设单位应当严格按照合同约定和工程价款结算程序支付工程款。竣工价款结算一般应当在项目竣工验收后2个月内完成，大型项目一般不得超过3个月。</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项目建设单位可以与施工单位在合同中约定按照不超过工程价款结算总额的5%预留工程质量保证金，待工程交付使用缺陷责任期满后清算。资信好的施工单位可以用银行保函替代工程质量保证金。</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项目主管部门应当会同财政部门加强工程价款结算的监督，重点审查工程招投标文件、工程量及各项费用的计取、合同协议、施工变更签证、人工和材料价差、工程索赔等。</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第七章　竣工财务决算管理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第三十一条</w:t>
      </w:r>
      <w:r>
        <w:rPr>
          <w:rFonts w:hint="eastAsia"/>
          <w:color w:val="333333"/>
        </w:rPr>
        <w:t xml:space="preserve">　项目竣工财务决算是正确核定项目资产价值、反映竣工项目建设成果的文件，是办理资产移交和产权登记的依据，包括竣工财务决算报表、竣工财务决算说明书以及相关材料。</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项目竣工财务决算应当数字准确、内容完整。竣工财务决算的编制要求另行规定。</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项目年度资金使用情况应当按照要求编入部门决算或者国有资本经营决算。</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项目建设单位在项目竣工后，应当及时编制项目竣工财务决算，并按照规定报送项目主管部门。</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项目设计、施工、监理等单位应当配合项目建设单位做好相关工作。</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建设周期长、建设内容多的大型项目，单项工程竣工具备交付使用条件的，可以编报单项工程竣工财务决算，项目全部竣工后应当编报竣工财务总决算。</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在编制项目竣工财务决算前，项目建设单位应当认真做好各项清理工作，包括账目核对及账务调整、财产物资核实处理、债权实现和债务清偿、档案资料归集整理等。</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在编制项目竣工财务决算时，项目建设单位应当按照规定将待摊投资支出按合理比例分摊计入交付使用资产价值、转出投资价值和待核销基建支出。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项目竣工财务决算审核、批复管理职责和程序要求由同级财政部门确定。</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财政部门和项目主管部门对项目竣工财务决算实行先审核、后批复的办法，可以委托预算评审机构或者有专业能力的社会中介机构进行审核。对符合条件的，应当在6个月内批复。</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第三十八条</w:t>
      </w:r>
      <w:r>
        <w:rPr>
          <w:rFonts w:hint="eastAsia"/>
          <w:color w:val="333333"/>
        </w:rPr>
        <w:t xml:space="preserve">　项目一般不得预留尾工工程，确需预留尾工工程的，尾工工程投资不得超过批准的项目概（预）算总投资的5%。</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项目主管部门应当督促项目建设单位抓紧实施项目尾工工程，加强对尾工工程资金使用的监督管理。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第三十九条</w:t>
      </w:r>
      <w:r>
        <w:rPr>
          <w:rFonts w:hint="eastAsia"/>
          <w:color w:val="333333"/>
        </w:rPr>
        <w:t xml:space="preserve">　已具备竣工验收条件的项目，应当及时组织验收，移交生产和使用。</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项目隶属关系发生变化时，应当按照规定及时办理财务关系划转，主要包括各项资金来源、已交付使用资产、在建工程、结余资金、各项债权及债务等的清理交接。</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第八章　资产交付管理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资产交付是指项目竣工验收合格后，将形成的资产交付或者转交生产使用单位的行为。</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交付使用的资产包括固定资产、流动资产、无形资产等。</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项目竣工验收合格后应当及时办理资产交付使用手续，并依据批复的项目竣工财务决算进行账务调整。</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第四十三条</w:t>
      </w:r>
      <w:r>
        <w:rPr>
          <w:rFonts w:hint="eastAsia"/>
          <w:color w:val="333333"/>
        </w:rPr>
        <w:t xml:space="preserve">　非经营性项目发生的江河清障疏浚、航道整治、飞播造林、退耕还林(草)、封山(沙)育林(草)、水土保持、城市绿化、毁损道路修复、护坡及清理等不能形成资产的支出，以及项目未被批准、项目取消和项目报废前已发生</w:t>
      </w:r>
      <w:r>
        <w:rPr>
          <w:rFonts w:hint="eastAsia"/>
          <w:color w:val="333333"/>
        </w:rPr>
        <w:lastRenderedPageBreak/>
        <w:t>的支出，作为待核销基建支出处理；形成资产产权归属本单位的，计入交付使用资产价值；形成资产产权不归属本单位的，作为转出投资处理。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非经营性项目发生的农村沼气工程、农村安全饮水工程、农村危房改造工程、游牧民定居工程、渔民上岸工程等涉及家庭或者个人的支出，形成资产产权归属家庭或者个人的，作为待核销基建支出处理；形成资产产权归属本单位的，计入交付使用资产价值；形成资产产权归属其他单位的，作为转出投资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第四十四条</w:t>
      </w:r>
      <w:r>
        <w:rPr>
          <w:rFonts w:hint="eastAsia"/>
          <w:color w:val="333333"/>
        </w:rPr>
        <w:t xml:space="preserve">　非经营性项目为项目配套建设的专用设施，包括专用道路、专用通讯设施、专用电力设施、地下管道等，产权归属本单位的，计入交付使用资产价值；产权不归属本单位的，作为转出投资处理。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非经营性项目移民安置补偿中由项目建设单位负责建设并形成的实物资产，产权归属集体或者单位的，作为转出投资处理；产权归属移民的，作为待核销基建支出处理。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经营性项目发生的项目取消和报废等不能形成资产的支出，以及设备采购和系统集成（软件）中包含的交付使用后运行维护等费用，按照国家财务、会计制度的有关规定处理。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经营性项目为项目配套建设的专用设施，包括专用铁路线、专用道路、专用通讯设施、专用电力设施、地下管道、专用码头等，项目建设单位应当与有关部门明确产权关系，并按照国家财务、会计制度的有关规定处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第九章　结余资金管理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结余资金是指项目竣工结余的建设资金，不包括工程抵扣的增值税进项税额资金。</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第四十八条</w:t>
      </w:r>
      <w:r>
        <w:rPr>
          <w:rFonts w:hint="eastAsia"/>
          <w:color w:val="333333"/>
        </w:rPr>
        <w:t xml:space="preserve">　经营性项目结余资金，转入单位的相关资产。</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非经营性项目结余资金，首先用于归还项目贷款。如有结余，按照项目资金来源属于财政资金的部分，应当在项目竣工验收合格后3个月内，按照预算管理制度有关规定收回财政。</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第四十九条</w:t>
      </w:r>
      <w:r>
        <w:rPr>
          <w:rFonts w:hint="eastAsia"/>
          <w:color w:val="333333"/>
        </w:rPr>
        <w:t xml:space="preserve">　项目终止、报废或者未按照批准的建设内容建设形成的剩余建设资金中，按照项目实际资金来源比例确认的财政资金应当收回财政。</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第十章　绩效评价</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第五十条</w:t>
      </w:r>
      <w:r>
        <w:rPr>
          <w:rFonts w:hint="eastAsia"/>
          <w:color w:val="333333"/>
        </w:rPr>
        <w:t xml:space="preserve">　项目绩效评价是指财政部门、项目主管部门根据设定的项目绩效目标，运用科学合理的评价方法和评价标准，对项目建设全过程中资金筹集、使用及核算的规范性、有效性，以及投入运营效果等进行评价的活动。</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第五十一条</w:t>
      </w:r>
      <w:r>
        <w:rPr>
          <w:rFonts w:hint="eastAsia"/>
          <w:color w:val="333333"/>
        </w:rPr>
        <w:t xml:space="preserve">　项目绩效评价应当坚持科学规范、公正公开、分级分类和绩效相关的原则，坚持经济效益、社会效益和生态效益相结合的原则。</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第五十二条</w:t>
      </w:r>
      <w:r>
        <w:rPr>
          <w:rFonts w:hint="eastAsia"/>
          <w:color w:val="333333"/>
        </w:rPr>
        <w:t xml:space="preserve">　项目绩效评价应当重点对项目建设成本、工程造价、投资控制、达产能力与设计能力差异、偿债能力、持续经营能力等实施绩效评价，根据管理需要和项目特点选用社会效益指标、财务效益指标、工程质量指标、建设工期指标、资金来源指标、资金使用指标、实际投资回收期指标、实际单位生产（营运）能力投资指标等评价指标。</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第五十三条</w:t>
      </w:r>
      <w:r>
        <w:rPr>
          <w:rFonts w:hint="eastAsia"/>
          <w:color w:val="333333"/>
        </w:rPr>
        <w:t xml:space="preserve">　财政部门负责制定项目绩效评价管理办法，对项目绩效评价工作进行指导和监督，选择部分项目开展重点绩效评价，依法公开绩效评价结果。绩效评价结果作为项目财政资金预算安排和资金拨付的重要依据。</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第五十四条</w:t>
      </w:r>
      <w:r>
        <w:rPr>
          <w:rFonts w:hint="eastAsia"/>
          <w:color w:val="333333"/>
        </w:rPr>
        <w:t xml:space="preserve">　项目主管部门会同财政部门按照有关规定，制定本部门或者本行业项目绩效评价具体实施办法，建立具体的绩效评价指标体系，确定项目绩效目标，具体组织实施本部门或者本行业绩效评价工作，并向财政部门报送绩效评价结果。</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第十一章　监督管理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第五十五条</w:t>
      </w:r>
      <w:r>
        <w:rPr>
          <w:rFonts w:hint="eastAsia"/>
          <w:color w:val="333333"/>
        </w:rPr>
        <w:t xml:space="preserve">　项目监督管理主要包括对项目资金筹集与使用、预算编制与执行、建设成本控制、工程价款结算、竣工财务决算编报审核、资产交付等的监督管理。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第五十六条</w:t>
      </w:r>
      <w:r>
        <w:rPr>
          <w:rFonts w:hint="eastAsia"/>
          <w:color w:val="333333"/>
        </w:rPr>
        <w:t xml:space="preserve">　项目建设单位应当建立、健全内部控制和项目财务信息报告制度，依法接受财政部门和项目主管部门等的财务监督管理。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第五十七条</w:t>
      </w:r>
      <w:r>
        <w:rPr>
          <w:rFonts w:hint="eastAsia"/>
          <w:color w:val="333333"/>
        </w:rPr>
        <w:t xml:space="preserve">　财政部门和项目主管部门应当加强项目的监督管理，采取事前、事中、事后相结合，日常监督与专项监督相结合的方式，对项目财务行为实施全过程监督管理。</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第五十八条</w:t>
      </w:r>
      <w:r>
        <w:rPr>
          <w:rFonts w:hint="eastAsia"/>
          <w:color w:val="333333"/>
        </w:rPr>
        <w:t xml:space="preserve">　财政部门应当加强对基本建设财政资金形成的资产的管理，按照规定对项目资产开展登记、核算、评估、处置、统计、报告等资产管理基础工作。</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第五十九条</w:t>
      </w:r>
      <w:r>
        <w:rPr>
          <w:rFonts w:hint="eastAsia"/>
          <w:color w:val="333333"/>
        </w:rPr>
        <w:t xml:space="preserve">　对于违反本规则的基本建设财务行为，依照《预算法》、《财政违法行为处罚处分条例》等有关规定追究责任。</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jc w:val="center"/>
        <w:rPr>
          <w:rFonts w:hint="eastAsia"/>
          <w:color w:val="333333"/>
        </w:rPr>
      </w:pPr>
      <w:r>
        <w:rPr>
          <w:rFonts w:hint="eastAsia"/>
          <w:color w:val="333333"/>
        </w:rPr>
        <w:t>第十二章　附　　则</w:t>
      </w:r>
    </w:p>
    <w:p w:rsidR="00EF715E" w:rsidRDefault="00EF715E" w:rsidP="00EF715E">
      <w:pPr>
        <w:pStyle w:val="a5"/>
        <w:shd w:val="clear" w:color="auto" w:fill="FFFFFF"/>
        <w:spacing w:before="0" w:beforeAutospacing="0" w:after="0" w:afterAutospacing="0"/>
        <w:ind w:firstLine="480"/>
        <w:jc w:val="both"/>
        <w:rPr>
          <w:rFonts w:hint="eastAsia"/>
          <w:color w:val="333333"/>
        </w:rPr>
      </w:pP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第六十条</w:t>
      </w:r>
      <w:r>
        <w:rPr>
          <w:rFonts w:hint="eastAsia"/>
          <w:color w:val="333333"/>
        </w:rPr>
        <w:t xml:space="preserve">　接受国家经常性资助的社会力量举办的公益服务性组织和社会团体的基本建设财务行为，以及非国有企业使用财政资金的基本建设财务行为，参照本规则执行。</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使用外国政府及国际金融组织贷款的基本建设财务行为执行本规则。国家另有规定的，从其规定。</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第六十一条</w:t>
      </w:r>
      <w:r>
        <w:rPr>
          <w:rFonts w:hint="eastAsia"/>
          <w:color w:val="333333"/>
        </w:rPr>
        <w:t xml:space="preserve">　项目建设内容仅为设备购置的，不执行本规则；项目建设内容以设备购置、房屋及其他建筑物购置为主并附有部分建筑安装工程的，可以简化执行本规则。</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经营性项目的项目资本中，财政资金所占比例未超过50%的，项目建设单位可以简化执行本规则，但应当按照要求向财政部门、项目主管部门报送相关财务资料。国家另有规定的，从其规定。</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第六十二条</w:t>
      </w:r>
      <w:r>
        <w:rPr>
          <w:rFonts w:hint="eastAsia"/>
          <w:color w:val="333333"/>
        </w:rPr>
        <w:t xml:space="preserve">　中央项目主管部门和各省、自治区、直辖市、计划单列市财政厅(局)可以根据本规则，结合本行业、本地区的项目情况，制定具体实施办法并报财政部备案。</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第六十三条</w:t>
      </w:r>
      <w:r>
        <w:rPr>
          <w:rFonts w:hint="eastAsia"/>
          <w:color w:val="333333"/>
        </w:rPr>
        <w:t xml:space="preserve">　本规则自2016年9月1日起施行。2002年9月27日财政部发布的《基本建设财务管理规定》（财建〔2002〕394号）及其解释同时废止。</w:t>
      </w:r>
    </w:p>
    <w:p w:rsidR="00EF715E" w:rsidRDefault="00EF715E" w:rsidP="00EF715E">
      <w:pPr>
        <w:pStyle w:val="a5"/>
        <w:shd w:val="clear" w:color="auto" w:fill="FFFFFF"/>
        <w:spacing w:before="0" w:beforeAutospacing="0" w:after="0" w:afterAutospacing="0"/>
        <w:ind w:firstLine="480"/>
        <w:jc w:val="both"/>
        <w:rPr>
          <w:rFonts w:hint="eastAsia"/>
          <w:color w:val="333333"/>
        </w:rPr>
      </w:pPr>
      <w:r>
        <w:rPr>
          <w:rFonts w:hint="eastAsia"/>
          <w:color w:val="333333"/>
        </w:rPr>
        <w:t>本规则施行前财政部制定的有关规定与本规则不一致的，按照本规则执行。《企业财务通则》（财政部令第41号）、《金融企业财务规则》（财政部令第</w:t>
      </w:r>
      <w:r>
        <w:rPr>
          <w:rFonts w:hint="eastAsia"/>
          <w:color w:val="333333"/>
        </w:rPr>
        <w:lastRenderedPageBreak/>
        <w:t>42号）、《事业单位财务规则》（财政部令第68号）和《行政单位财务规则》（财政部令第71号）另有规定的，从其规定。</w:t>
      </w:r>
    </w:p>
    <w:p w:rsidR="00E63F9F" w:rsidRPr="00EF715E" w:rsidRDefault="00E63F9F"/>
    <w:sectPr w:rsidR="00E63F9F" w:rsidRPr="00EF7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034" w:rsidRDefault="00AA6034" w:rsidP="00EF715E">
      <w:r>
        <w:separator/>
      </w:r>
    </w:p>
  </w:endnote>
  <w:endnote w:type="continuationSeparator" w:id="0">
    <w:p w:rsidR="00AA6034" w:rsidRDefault="00AA6034" w:rsidP="00EF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034" w:rsidRDefault="00AA6034" w:rsidP="00EF715E">
      <w:r>
        <w:separator/>
      </w:r>
    </w:p>
  </w:footnote>
  <w:footnote w:type="continuationSeparator" w:id="0">
    <w:p w:rsidR="00AA6034" w:rsidRDefault="00AA6034" w:rsidP="00EF7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31"/>
    <w:rsid w:val="008E4031"/>
    <w:rsid w:val="00AA6034"/>
    <w:rsid w:val="00E63F9F"/>
    <w:rsid w:val="00EF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4698A8-407B-49D2-92D7-CAA1CFD3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1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715E"/>
    <w:rPr>
      <w:sz w:val="18"/>
      <w:szCs w:val="18"/>
    </w:rPr>
  </w:style>
  <w:style w:type="paragraph" w:styleId="a4">
    <w:name w:val="footer"/>
    <w:basedOn w:val="a"/>
    <w:link w:val="Char0"/>
    <w:uiPriority w:val="99"/>
    <w:unhideWhenUsed/>
    <w:rsid w:val="00EF715E"/>
    <w:pPr>
      <w:tabs>
        <w:tab w:val="center" w:pos="4153"/>
        <w:tab w:val="right" w:pos="8306"/>
      </w:tabs>
      <w:snapToGrid w:val="0"/>
      <w:jc w:val="left"/>
    </w:pPr>
    <w:rPr>
      <w:sz w:val="18"/>
      <w:szCs w:val="18"/>
    </w:rPr>
  </w:style>
  <w:style w:type="character" w:customStyle="1" w:styleId="Char0">
    <w:name w:val="页脚 Char"/>
    <w:basedOn w:val="a0"/>
    <w:link w:val="a4"/>
    <w:uiPriority w:val="99"/>
    <w:rsid w:val="00EF715E"/>
    <w:rPr>
      <w:sz w:val="18"/>
      <w:szCs w:val="18"/>
    </w:rPr>
  </w:style>
  <w:style w:type="paragraph" w:styleId="a5">
    <w:name w:val="Normal (Web)"/>
    <w:basedOn w:val="a"/>
    <w:uiPriority w:val="99"/>
    <w:semiHidden/>
    <w:unhideWhenUsed/>
    <w:rsid w:val="00EF71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2018-01-12T01:44:00Z</dcterms:created>
  <dcterms:modified xsi:type="dcterms:W3CDTF">2018-01-12T01:44:00Z</dcterms:modified>
</cp:coreProperties>
</file>