
<file path=[Content_Types].xml><?xml version="1.0" encoding="utf-8"?>
<Types xmlns="http://schemas.openxmlformats.org/package/2006/content-types">
  <Default Extension="xml" ContentType="application/xml"/>
  <Default Extension="wmf" ContentType="image/x-wmf"/>
  <Default Extension="png" ContentType="image/png"/>
  <Default Extension="tiff" ContentType="image/tif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45"/>
      </w:tblGrid>
      <w:tr w14:paraId="7912D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8F320EB">
            <w:pPr>
              <w:pStyle w:val="20"/>
              <w:framePr/>
            </w:pPr>
            <w:r>
              <w:t xml:space="preserve">ICS  </w:t>
            </w:r>
          </w:p>
        </w:tc>
        <w:tc>
          <w:tcPr>
            <w:tcW w:w="8845" w:type="dxa"/>
          </w:tcPr>
          <w:p w14:paraId="2242D5DA">
            <w:pPr>
              <w:pStyle w:val="20"/>
              <w:framePr/>
            </w:pPr>
            <w:r>
              <w:fldChar w:fldCharType="begin">
                <w:ffData>
                  <w:name w:val="ICS"/>
                  <w:enabled/>
                  <w:calcOnExit w:val="0"/>
                  <w:textInput>
                    <w:default w:val="点击此处添加ICS号"/>
                  </w:textInput>
                </w:ffData>
              </w:fldChar>
            </w:r>
            <w:bookmarkStart w:id="0" w:name="ICS"/>
            <w:r>
              <w:instrText xml:space="preserve"> FORMTEXT </w:instrText>
            </w:r>
            <w:r>
              <w:fldChar w:fldCharType="separate"/>
            </w:r>
            <w:r>
              <w:t>35.030</w:t>
            </w:r>
            <w:r>
              <w:fldChar w:fldCharType="end"/>
            </w:r>
            <w:bookmarkEnd w:id="0"/>
          </w:p>
        </w:tc>
      </w:tr>
      <w:tr w14:paraId="6914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2D0D2CE">
            <w:pPr>
              <w:pStyle w:val="20"/>
              <w:framePr/>
            </w:pPr>
            <w:r>
              <w:t xml:space="preserve">CCS  </w:t>
            </w:r>
          </w:p>
        </w:tc>
        <w:tc>
          <w:tcPr>
            <w:tcW w:w="8845" w:type="dxa"/>
          </w:tcPr>
          <w:p w14:paraId="003414F6">
            <w:pPr>
              <w:pStyle w:val="20"/>
              <w:framePr/>
            </w:pPr>
            <w:r>
              <w:fldChar w:fldCharType="begin">
                <w:ffData>
                  <w:name w:val="CSDN"/>
                  <w:enabled/>
                  <w:calcOnExit w:val="0"/>
                  <w:textInput>
                    <w:default w:val="L 80"/>
                  </w:textInput>
                </w:ffData>
              </w:fldChar>
            </w:r>
            <w:bookmarkStart w:id="1" w:name="CSDN"/>
            <w:r>
              <w:instrText xml:space="preserve"> FORMTEXT </w:instrText>
            </w:r>
            <w:r>
              <w:fldChar w:fldCharType="separate"/>
            </w:r>
            <w:r>
              <w:t>L 80</w:t>
            </w:r>
            <w:r>
              <w:fldChar w:fldCharType="end"/>
            </w:r>
            <w:bookmarkEnd w:id="1"/>
          </w:p>
        </w:tc>
      </w:tr>
    </w:tbl>
    <w:p w14:paraId="5FD44D07">
      <w:pPr>
        <w:pStyle w:val="56"/>
        <w:framePr w:w="9639" w:h="624" w:hRule="exact" w:hSpace="181" w:vSpace="181" w:wrap="around" w:hAnchor="page" w:x="1305" w:y="2269"/>
        <w:rPr>
          <w:rFonts w:ascii="Times New Roman"/>
        </w:rPr>
      </w:pPr>
      <w:bookmarkStart w:id="2" w:name="_Hlk26473981"/>
      <w:r>
        <w:rPr>
          <w:rFonts w:ascii="Times New Roman"/>
        </w:rPr>
        <w:t>中华人民共和国国家标准</w:t>
      </w:r>
    </w:p>
    <w:bookmarkEnd w:id="2"/>
    <w:p w14:paraId="6E9BF0D6">
      <w:pPr>
        <w:pStyle w:val="201"/>
        <w:framePr w:wrap="around"/>
        <w:ind w:left="840"/>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lang w:val="fr-FR"/>
        </w:rPr>
        <w:t>XXXXX</w:t>
      </w:r>
      <w:r>
        <w:fldChar w:fldCharType="end"/>
      </w:r>
      <w:bookmarkEnd w:id="4"/>
      <w:r>
        <w:rPr>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6F734623">
      <w:pPr>
        <w:pStyle w:val="202"/>
        <w:framePr w:wrap="around"/>
        <w:ind w:left="840"/>
      </w:pPr>
      <w:r>
        <w:fldChar w:fldCharType="begin">
          <w:ffData>
            <w:name w:val="OSTD_CODE"/>
            <w:enabled/>
            <w:calcOnExit w:val="0"/>
            <w:textInput/>
          </w:ffData>
        </w:fldChar>
      </w:r>
      <w:bookmarkStart w:id="6" w:name="OSTD_CODE"/>
      <w:r>
        <w:instrText xml:space="preserve"> FORMTEXT </w:instrText>
      </w:r>
      <w:r>
        <w:fldChar w:fldCharType="separate"/>
      </w:r>
      <w:r>
        <w:t>     </w:t>
      </w:r>
      <w:r>
        <w:fldChar w:fldCharType="end"/>
      </w:r>
      <w:bookmarkEnd w:id="6"/>
    </w:p>
    <w:p w14:paraId="3456AB6B">
      <w:pPr>
        <w:spacing w:line="240" w:lineRule="auto"/>
        <w:ind w:left="8080"/>
        <w:rPr>
          <w:rFonts w:ascii="Times New Roman" w:hAnsi="Times New Roman" w:eastAsia="黑体"/>
          <w:kern w:val="0"/>
          <w:sz w:val="52"/>
          <w:szCs w:val="20"/>
        </w:rPr>
      </w:pPr>
      <w:bookmarkStart w:id="7" w:name="_Hlk161155227"/>
      <w:bookmarkStart w:id="8" w:name="BookMark1"/>
      <w:r>
        <w:rPr>
          <w:rFonts w:ascii="Times New Roman" w:hAnsi="Times New Roman" w:eastAsia="黑体"/>
          <w:kern w:val="0"/>
          <w:sz w:val="52"/>
          <w:szCs w:val="2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Times New Roman" w:hAnsi="Times New Roman" w:eastAsia="黑体"/>
          <w:kern w:val="0"/>
          <w:sz w:val="52"/>
          <w:szCs w:val="20"/>
        </w:rPr>
        <w:drawing>
          <wp:anchor distT="0" distB="0" distL="114300" distR="114300" simplePos="0" relativeHeight="251660288"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7BFB07B3">
      <w:pPr>
        <w:framePr w:w="9639" w:h="6974" w:hRule="exact" w:wrap="around" w:vAnchor="page" w:hAnchor="page" w:x="1266" w:y="6342" w:anchorLock="1"/>
        <w:ind w:left="-1418"/>
        <w:rPr>
          <w:rFonts w:ascii="Times New Roman" w:hAnsi="Times New Roman"/>
        </w:rPr>
      </w:pPr>
    </w:p>
    <w:p w14:paraId="68636A71">
      <w:pPr>
        <w:pStyle w:val="203"/>
        <w:framePr w:h="6974" w:hRule="exact" w:wrap="around" w:x="1266" w:y="6342" w:anchorLock="1"/>
        <w:ind w:left="0" w:leftChars="0"/>
      </w:pPr>
      <w:r>
        <w:fldChar w:fldCharType="begin">
          <w:ffData>
            <w:name w:val="CSTD_NAME"/>
            <w:enabled/>
            <w:calcOnExit w:val="0"/>
            <w:textInput>
              <w:default w:val="数据安全技术　数据安全保护要求"/>
            </w:textInput>
          </w:ffData>
        </w:fldChar>
      </w:r>
      <w:bookmarkStart w:id="9" w:name="CSTD_NAME"/>
      <w:r>
        <w:instrText xml:space="preserve"> FORMTEXT </w:instrText>
      </w:r>
      <w:r>
        <w:fldChar w:fldCharType="separate"/>
      </w:r>
      <w:r>
        <w:rPr>
          <w:rFonts w:hint="eastAsia"/>
        </w:rPr>
        <w:t>数据安全技术　数据安全保护要求</w:t>
      </w:r>
      <w:r>
        <w:fldChar w:fldCharType="end"/>
      </w:r>
      <w:bookmarkEnd w:id="9"/>
    </w:p>
    <w:p w14:paraId="48F75A2D">
      <w:pPr>
        <w:framePr w:w="9639" w:h="6974" w:hRule="exact" w:wrap="around" w:vAnchor="page" w:hAnchor="page" w:x="1266" w:y="6342" w:anchorLock="1"/>
        <w:rPr>
          <w:rFonts w:ascii="Times New Roman" w:hAnsi="Times New Roman"/>
        </w:rPr>
      </w:pPr>
    </w:p>
    <w:p w14:paraId="544B441E">
      <w:pPr>
        <w:pStyle w:val="131"/>
        <w:framePr w:w="9639" w:h="6974" w:hRule="exact" w:wrap="around" w:vAnchor="page" w:hAnchor="page" w:x="1266" w:y="6342" w:anchorLock="1"/>
        <w:textAlignment w:val="bottom"/>
        <w:rPr>
          <w:rFonts w:eastAsia="黑体"/>
          <w:szCs w:val="28"/>
        </w:rPr>
      </w:pPr>
      <w:r>
        <w:rPr>
          <w:rFonts w:eastAsia="黑体"/>
          <w:szCs w:val="28"/>
        </w:rPr>
        <w:fldChar w:fldCharType="begin">
          <w:ffData>
            <w:name w:val="ESTD_NAME"/>
            <w:enabled/>
            <w:calcOnExit w:val="0"/>
            <w:textInput>
              <w:default w:val="data security technology — Requirements for data security protection"/>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data security technology — Requirements for data security protection</w:t>
      </w:r>
      <w:r>
        <w:rPr>
          <w:rFonts w:eastAsia="黑体"/>
          <w:szCs w:val="28"/>
        </w:rPr>
        <w:fldChar w:fldCharType="end"/>
      </w:r>
      <w:bookmarkEnd w:id="10"/>
    </w:p>
    <w:p w14:paraId="66810F95">
      <w:pPr>
        <w:pStyle w:val="131"/>
        <w:framePr w:w="9639" w:h="6974" w:hRule="exact" w:wrap="around" w:vAnchor="page" w:hAnchor="page" w:x="1266" w:y="6342" w:anchorLock="1"/>
        <w:textAlignment w:val="bottom"/>
        <w:rPr>
          <w:rFonts w:eastAsia="黑体"/>
          <w:szCs w:val="28"/>
        </w:rPr>
      </w:pPr>
    </w:p>
    <w:p w14:paraId="003FBB6C">
      <w:pPr>
        <w:framePr w:w="9639" w:h="6974" w:hRule="exact" w:wrap="around" w:vAnchor="page" w:hAnchor="page" w:x="1266" w:y="6342" w:anchorLock="1"/>
        <w:spacing w:line="760" w:lineRule="exact"/>
        <w:ind w:left="-1418"/>
        <w:rPr>
          <w:rFonts w:ascii="Times New Roman" w:hAnsi="Times New Roman"/>
        </w:rPr>
      </w:pPr>
    </w:p>
    <w:p w14:paraId="2805CE1E">
      <w:pPr>
        <w:pStyle w:val="131"/>
        <w:framePr w:w="9639" w:h="6974" w:hRule="exact" w:wrap="around" w:vAnchor="page" w:hAnchor="page" w:x="1266" w:y="6342" w:anchorLock="1"/>
        <w:textAlignment w:val="bottom"/>
        <w:rPr>
          <w:rFonts w:eastAsia="黑体"/>
          <w:szCs w:val="28"/>
        </w:rPr>
      </w:pPr>
      <w:r>
        <w:rPr>
          <w:rFonts w:eastAsia="黑体"/>
          <w:szCs w:val="28"/>
        </w:rPr>
        <w:fldChar w:fldCharType="begin">
          <w:ffData>
            <w:name w:val="IN_STD_CODE"/>
            <w:enabled/>
            <w:calcOnExit w:val="0"/>
            <w:textInput>
              <w:default w:val="（征求意见稿）"/>
            </w:textInput>
          </w:ffData>
        </w:fldChar>
      </w:r>
      <w:bookmarkStart w:id="11" w:name="IN_STD_CODE"/>
      <w:r>
        <w:rPr>
          <w:rFonts w:eastAsia="黑体"/>
          <w:szCs w:val="28"/>
        </w:rPr>
        <w:instrText xml:space="preserve"> FORMTEXT </w:instrText>
      </w:r>
      <w:r>
        <w:rPr>
          <w:rFonts w:eastAsia="黑体"/>
          <w:szCs w:val="28"/>
        </w:rPr>
        <w:fldChar w:fldCharType="separate"/>
      </w:r>
      <w:r>
        <w:rPr>
          <w:rFonts w:hint="eastAsia" w:eastAsia="黑体"/>
          <w:szCs w:val="28"/>
        </w:rPr>
        <w:t>（征求意见稿）</w:t>
      </w:r>
      <w:r>
        <w:rPr>
          <w:rFonts w:eastAsia="黑体"/>
          <w:szCs w:val="28"/>
        </w:rPr>
        <w:fldChar w:fldCharType="end"/>
      </w:r>
      <w:bookmarkEnd w:id="11"/>
    </w:p>
    <w:p w14:paraId="01C10B01">
      <w:pPr>
        <w:pStyle w:val="131"/>
        <w:framePr w:w="9639" w:h="6974" w:hRule="exact" w:wrap="around" w:vAnchor="page" w:hAnchor="page" w:x="1266" w:y="6342" w:anchorLock="1"/>
        <w:spacing w:before="440" w:after="160"/>
        <w:textAlignment w:val="bottom"/>
        <w:rPr>
          <w:sz w:val="24"/>
          <w:szCs w:val="28"/>
        </w:rPr>
      </w:pPr>
    </w:p>
    <w:p w14:paraId="65CFC668">
      <w:pPr>
        <w:pStyle w:val="131"/>
        <w:framePr w:w="9639" w:h="6974" w:hRule="exact" w:wrap="around" w:vAnchor="page" w:hAnchor="page" w:x="1266" w:y="6342" w:anchorLock="1"/>
        <w:spacing w:before="180" w:line="240" w:lineRule="atLeast"/>
        <w:textAlignment w:val="bottom"/>
        <w:rPr>
          <w:sz w:val="21"/>
          <w:szCs w:val="28"/>
        </w:rPr>
      </w:pPr>
      <w:bookmarkStart w:id="12" w:name="CMPLSH_DATE"/>
      <w:r>
        <w:rPr>
          <w:rFonts w:hint="eastAsia"/>
          <w:sz w:val="21"/>
          <w:szCs w:val="28"/>
        </w:rPr>
        <w:fldChar w:fldCharType="begin">
          <w:ffData>
            <w:name w:val="CMPLSH_DATE"/>
            <w:enabled/>
            <w:calcOnExit w:val="0"/>
            <w:textInput>
              <w:default w:val="（本稿完成时间：2025年10月29日）"/>
            </w:textInput>
          </w:ffData>
        </w:fldChar>
      </w:r>
      <w:r>
        <w:rPr>
          <w:rFonts w:hint="eastAsia"/>
          <w:sz w:val="21"/>
          <w:szCs w:val="28"/>
        </w:rPr>
        <w:instrText xml:space="preserve">FORMTEXT</w:instrText>
      </w:r>
      <w:r>
        <w:rPr>
          <w:rFonts w:hint="eastAsia"/>
          <w:sz w:val="21"/>
          <w:szCs w:val="28"/>
        </w:rPr>
        <w:fldChar w:fldCharType="separate"/>
      </w:r>
      <w:r>
        <w:rPr>
          <w:rFonts w:hint="eastAsia"/>
          <w:sz w:val="21"/>
          <w:szCs w:val="28"/>
        </w:rPr>
        <w:t>（本稿完成时间：2025年10月29日）</w:t>
      </w:r>
      <w:r>
        <w:rPr>
          <w:rFonts w:hint="eastAsia"/>
          <w:sz w:val="21"/>
          <w:szCs w:val="28"/>
        </w:rPr>
        <w:fldChar w:fldCharType="end"/>
      </w:r>
      <w:bookmarkEnd w:id="12"/>
    </w:p>
    <w:p w14:paraId="6EFB6197">
      <w:pPr>
        <w:pStyle w:val="131"/>
        <w:framePr w:w="9639" w:h="6974" w:hRule="exact" w:wrap="around" w:vAnchor="page" w:hAnchor="page" w:x="1266" w:y="6342" w:anchorLock="1"/>
        <w:spacing w:before="720" w:beforeLines="300" w:after="72" w:afterLines="30" w:line="240" w:lineRule="auto"/>
        <w:textAlignment w:val="bottom"/>
        <w:rPr>
          <w:b/>
          <w:sz w:val="21"/>
          <w:szCs w:val="28"/>
        </w:rPr>
      </w:pPr>
      <w:r>
        <w:rPr>
          <w:rFonts w:hint="eastAsia"/>
          <w:b/>
          <w:sz w:val="21"/>
          <w:szCs w:val="28"/>
        </w:rPr>
        <w:t>在提交反馈意见时，请将您知道的相关专利连同支持性文件一并附上。</w:t>
      </w:r>
    </w:p>
    <w:p w14:paraId="3CDBDE95">
      <w:pPr>
        <w:pStyle w:val="199"/>
        <w:framePr w:wrap="around" w:y="14176"/>
      </w:pPr>
      <w:r>
        <w:fldChar w:fldCharType="begin">
          <w:ffData>
            <w:name w:val="PLSH_DATE_Y"/>
            <w:enabled/>
            <w:calcOnExit w:val="0"/>
            <w:textInput>
              <w:default w:val="XXXX"/>
              <w:maxLength w:val="4"/>
            </w:textInput>
          </w:ffData>
        </w:fldChar>
      </w:r>
      <w:bookmarkStart w:id="13" w:name="PLSH_DATE_Y"/>
      <w:r>
        <w:instrText xml:space="preserve"> FORMTEXT </w:instrText>
      </w:r>
      <w:r>
        <w:fldChar w:fldCharType="separate"/>
      </w:r>
      <w:r>
        <w:t>XXXX</w:t>
      </w:r>
      <w:r>
        <w:fldChar w:fldCharType="end"/>
      </w:r>
      <w:bookmarkEnd w:id="13"/>
      <w:r>
        <w:t xml:space="preserve"> - </w:t>
      </w:r>
      <w:r>
        <w:fldChar w:fldCharType="begin">
          <w:ffData>
            <w:name w:val="PLSH_DATE_M"/>
            <w:enabled/>
            <w:calcOnExit w:val="0"/>
            <w:textInput>
              <w:default w:val="XX"/>
              <w:maxLength w:val="2"/>
            </w:textInput>
          </w:ffData>
        </w:fldChar>
      </w:r>
      <w:bookmarkStart w:id="14" w:name="PLSH_DATE_M"/>
      <w:r>
        <w:instrText xml:space="preserve"> FORMTEXT </w:instrText>
      </w:r>
      <w:r>
        <w:fldChar w:fldCharType="separate"/>
      </w:r>
      <w:r>
        <w:t>XX</w:t>
      </w:r>
      <w:r>
        <w:fldChar w:fldCharType="end"/>
      </w:r>
      <w:bookmarkEnd w:id="14"/>
      <w:r>
        <w:t xml:space="preserve"> - </w:t>
      </w:r>
      <w:r>
        <w:fldChar w:fldCharType="begin">
          <w:ffData>
            <w:name w:val="PLSH_DATE_D"/>
            <w:enabled/>
            <w:calcOnExit w:val="0"/>
            <w:textInput>
              <w:default w:val="XX"/>
              <w:maxLength w:val="2"/>
            </w:textInput>
          </w:ffData>
        </w:fldChar>
      </w:r>
      <w:bookmarkStart w:id="15" w:name="PLSH_DATE_D"/>
      <w:r>
        <w:instrText xml:space="preserve"> FORMTEXT </w:instrText>
      </w:r>
      <w:r>
        <w:fldChar w:fldCharType="separate"/>
      </w:r>
      <w:r>
        <w:t>XX</w:t>
      </w:r>
      <w:r>
        <w:fldChar w:fldCharType="end"/>
      </w:r>
      <w:bookmarkEnd w:id="15"/>
      <w:r>
        <w:rPr>
          <w:rFonts w:hint="eastAsia"/>
        </w:rPr>
        <w:t>发布</w:t>
      </w:r>
    </w:p>
    <w:p w14:paraId="59F6D65D">
      <w:pPr>
        <w:pStyle w:val="200"/>
        <w:framePr w:wrap="around" w:y="14176"/>
      </w:pPr>
      <w:r>
        <w:fldChar w:fldCharType="begin">
          <w:ffData>
            <w:name w:val="CROT_DATE_Y"/>
            <w:enabled/>
            <w:calcOnExit w:val="0"/>
            <w:textInput>
              <w:default w:val="XXXX"/>
              <w:maxLength w:val="4"/>
            </w:textInput>
          </w:ffData>
        </w:fldChar>
      </w:r>
      <w:bookmarkStart w:id="16" w:name="CROT_DATE_Y"/>
      <w:r>
        <w:instrText xml:space="preserve"> FORMTEXT </w:instrText>
      </w:r>
      <w:r>
        <w:fldChar w:fldCharType="separate"/>
      </w:r>
      <w:r>
        <w:t>XXXX</w:t>
      </w:r>
      <w:r>
        <w:fldChar w:fldCharType="end"/>
      </w:r>
      <w:bookmarkEnd w:id="16"/>
      <w:r>
        <w:t xml:space="preserve"> - </w:t>
      </w:r>
      <w:r>
        <w:fldChar w:fldCharType="begin">
          <w:ffData>
            <w:name w:val="CROT_DATE_M"/>
            <w:enabled/>
            <w:calcOnExit w:val="0"/>
            <w:textInput>
              <w:default w:val="XX"/>
              <w:maxLength w:val="2"/>
            </w:textInput>
          </w:ffData>
        </w:fldChar>
      </w:r>
      <w:bookmarkStart w:id="17" w:name="CROT_DATE_M"/>
      <w:r>
        <w:instrText xml:space="preserve"> FORMTEXT </w:instrText>
      </w:r>
      <w:r>
        <w:fldChar w:fldCharType="separate"/>
      </w:r>
      <w:r>
        <w:t>XX</w:t>
      </w:r>
      <w:r>
        <w:fldChar w:fldCharType="end"/>
      </w:r>
      <w:bookmarkEnd w:id="17"/>
      <w:r>
        <w:t xml:space="preserve"> - </w:t>
      </w:r>
      <w:r>
        <w:fldChar w:fldCharType="begin">
          <w:ffData>
            <w:name w:val="CROT_DATE_D"/>
            <w:enabled/>
            <w:calcOnExit w:val="0"/>
            <w:textInput>
              <w:default w:val="XX"/>
              <w:maxLength w:val="2"/>
            </w:textInput>
          </w:ffData>
        </w:fldChar>
      </w:r>
      <w:bookmarkStart w:id="18" w:name="CROT_DATE_D"/>
      <w:r>
        <w:instrText xml:space="preserve"> FORMTEXT </w:instrText>
      </w:r>
      <w:r>
        <w:fldChar w:fldCharType="separate"/>
      </w:r>
      <w:r>
        <w:t>XX</w:t>
      </w:r>
      <w:r>
        <w:fldChar w:fldCharType="end"/>
      </w:r>
      <w:bookmarkEnd w:id="18"/>
      <w:r>
        <w:rPr>
          <w:rFonts w:hint="eastAsia"/>
        </w:rPr>
        <w:t>实施</w:t>
      </w:r>
    </w:p>
    <w:p w14:paraId="6D8A9EA0">
      <w:pPr>
        <w:rPr>
          <w:rFonts w:ascii="Times New Roman" w:hAnsi="Times New Roman"/>
          <w:sz w:val="28"/>
          <w:szCs w:val="28"/>
        </w:rPr>
      </w:pPr>
      <w:r>
        <w:rPr>
          <w:rFonts w:hint="eastAsia" w:ascii="Times New Roman" w:hAnsi="Times New Roman"/>
          <w:sz w:val="28"/>
          <w:szCs w:val="28"/>
        </w:rPr>
        <w:drawing>
          <wp:anchor distT="0" distB="0" distL="114300" distR="114300" simplePos="0" relativeHeight="251661312" behindDoc="0" locked="0" layoutInCell="1" allowOverlap="1">
            <wp:simplePos x="0" y="0"/>
            <wp:positionH relativeFrom="column">
              <wp:posOffset>1610360</wp:posOffset>
            </wp:positionH>
            <wp:positionV relativeFrom="paragraph">
              <wp:posOffset>8245475</wp:posOffset>
            </wp:positionV>
            <wp:extent cx="2869565" cy="546100"/>
            <wp:effectExtent l="0" t="0" r="0" b="698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69324" cy="545919"/>
                    </a:xfrm>
                    <a:prstGeom prst="rect">
                      <a:avLst/>
                    </a:prstGeom>
                  </pic:spPr>
                </pic:pic>
              </a:graphicData>
            </a:graphic>
          </wp:anchor>
        </w:drawing>
      </w:r>
      <w:r>
        <w:rPr>
          <w:rFonts w:hint="eastAsia" w:ascii="Times New Roman" w:hAnsi="Times New Roman"/>
          <w:sz w:val="28"/>
          <w:szCs w:val="28"/>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233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9F44F17">
      <w:pPr>
        <w:rPr>
          <w:rFonts w:ascii="Times New Roman" w:hAnsi="Times New Roman"/>
          <w:sz w:val="28"/>
          <w:szCs w:val="28"/>
        </w:rPr>
      </w:pPr>
    </w:p>
    <w:p w14:paraId="2C8B2602">
      <w:pPr>
        <w:rPr>
          <w:rFonts w:ascii="Times New Roman" w:hAnsi="Times New Roman"/>
          <w:sz w:val="28"/>
          <w:szCs w:val="28"/>
        </w:rPr>
      </w:pPr>
    </w:p>
    <w:p w14:paraId="713DEFEB">
      <w:pPr>
        <w:tabs>
          <w:tab w:val="left" w:pos="6216"/>
        </w:tabs>
        <w:rPr>
          <w:rFonts w:ascii="Times New Roman" w:hAnsi="Times New Roman"/>
          <w:sz w:val="28"/>
          <w:szCs w:val="28"/>
        </w:rPr>
      </w:pPr>
      <w:r>
        <w:rPr>
          <w:rFonts w:ascii="Times New Roman" w:hAnsi="Times New Roman"/>
          <w:sz w:val="28"/>
          <w:szCs w:val="28"/>
        </w:rPr>
        <w:tab/>
      </w:r>
    </w:p>
    <w:p w14:paraId="7029F85D">
      <w:pPr>
        <w:tabs>
          <w:tab w:val="left" w:pos="6216"/>
        </w:tabs>
        <w:rPr>
          <w:rFonts w:ascii="Times New Roman" w:hAnsi="Times New Roman"/>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Times New Roman" w:hAnsi="Times New Roman"/>
          <w:sz w:val="28"/>
          <w:szCs w:val="28"/>
        </w:rPr>
        <w:tab/>
      </w:r>
    </w:p>
    <w:p w14:paraId="1529FA81">
      <w:pPr>
        <w:pStyle w:val="97"/>
        <w:spacing w:after="468"/>
        <w:rPr>
          <w:rFonts w:ascii="Times New Roman" w:hAnsi="Times New Roman"/>
          <w:spacing w:val="320"/>
        </w:rPr>
        <w:sectPr>
          <w:headerReference r:id="rId11" w:type="default"/>
          <w:footerReference r:id="rId13" w:type="default"/>
          <w:headerReference r:id="rId12" w:type="even"/>
          <w:footerReference r:id="rId14" w:type="even"/>
          <w:pgSz w:w="11906" w:h="16838"/>
          <w:pgMar w:top="1440" w:right="1800" w:bottom="1440" w:left="1800" w:header="1417" w:footer="1134" w:gutter="0"/>
          <w:pgNumType w:fmt="upperRoman"/>
          <w:cols w:space="425" w:num="1"/>
          <w:docGrid w:type="lines" w:linePitch="312" w:charSpace="0"/>
        </w:sectPr>
      </w:pPr>
    </w:p>
    <w:bookmarkEnd w:id="7"/>
    <w:p w14:paraId="067BDDF0">
      <w:pPr>
        <w:pStyle w:val="97"/>
        <w:spacing w:after="468"/>
        <w:rPr>
          <w:rFonts w:ascii="Times New Roman" w:hAnsi="Times New Roman"/>
          <w:b/>
          <w:sz w:val="20"/>
        </w:rPr>
      </w:pPr>
      <w:r>
        <w:rPr>
          <w:rFonts w:ascii="Times New Roman" w:hAnsi="Times New Roman"/>
          <w:spacing w:val="320"/>
        </w:rPr>
        <w:t>目</w:t>
      </w:r>
      <w:r>
        <w:rPr>
          <w:rFonts w:ascii="Times New Roman" w:hAnsi="Times New Roman"/>
        </w:rPr>
        <w:t>次</w:t>
      </w:r>
    </w:p>
    <w:bookmarkEnd w:id="8"/>
    <w:sdt>
      <w:sdtPr>
        <w:rPr>
          <w:rFonts w:ascii="Times New Roman" w:hAnsi="Times New Roman"/>
        </w:rPr>
        <w:id w:val="147464086"/>
        <w15:color w:val="DBDBDB"/>
        <w:docPartObj>
          <w:docPartGallery w:val="Table of Contents"/>
          <w:docPartUnique/>
        </w:docPartObj>
      </w:sdtPr>
      <w:sdtEndPr>
        <w:rPr>
          <w:rFonts w:ascii="宋体" w:hAnsi="宋体"/>
        </w:rPr>
      </w:sdtEndPr>
      <w:sdtContent>
        <w:p w14:paraId="58FE0712">
          <w:pPr>
            <w:spacing w:line="240" w:lineRule="auto"/>
            <w:jc w:val="center"/>
            <w:rPr>
              <w:rFonts w:ascii="Times New Roman" w:hAnsi="Times New Roman"/>
            </w:rPr>
          </w:pPr>
        </w:p>
        <w:p w14:paraId="274DF395">
          <w:pPr>
            <w:pStyle w:val="21"/>
            <w:tabs>
              <w:tab w:val="right" w:leader="dot" w:pos="8306"/>
            </w:tabs>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HYPERLINK \l _Toc16294 </w:instrText>
          </w:r>
          <w:r>
            <w:rPr>
              <w:rFonts w:ascii="Times New Roman" w:hAnsi="Times New Roman"/>
            </w:rPr>
            <w:fldChar w:fldCharType="separate"/>
          </w:r>
          <w:r>
            <w:rPr>
              <w:rFonts w:ascii="Times New Roman"/>
            </w:rPr>
            <w:t>前言</w:t>
          </w:r>
          <w:r>
            <w:tab/>
          </w:r>
          <w:r>
            <w:fldChar w:fldCharType="begin"/>
          </w:r>
          <w:r>
            <w:instrText xml:space="preserve"> PAGEREF _Toc16294 \h </w:instrText>
          </w:r>
          <w:r>
            <w:fldChar w:fldCharType="separate"/>
          </w:r>
          <w:r>
            <w:t>III</w:t>
          </w:r>
          <w:r>
            <w:fldChar w:fldCharType="end"/>
          </w:r>
          <w:r>
            <w:rPr>
              <w:rFonts w:ascii="Times New Roman" w:hAnsi="Times New Roman"/>
            </w:rPr>
            <w:fldChar w:fldCharType="end"/>
          </w:r>
        </w:p>
        <w:p w14:paraId="4497EC4E">
          <w:pPr>
            <w:pStyle w:val="21"/>
            <w:tabs>
              <w:tab w:val="right" w:leader="dot" w:pos="8306"/>
            </w:tabs>
          </w:pPr>
          <w:r>
            <w:rPr>
              <w:rFonts w:ascii="Times New Roman" w:hAnsi="Times New Roman"/>
            </w:rPr>
            <w:fldChar w:fldCharType="begin"/>
          </w:r>
          <w:r>
            <w:rPr>
              <w:rFonts w:ascii="Times New Roman" w:hAnsi="Times New Roman"/>
            </w:rPr>
            <w:instrText xml:space="preserve"> HYPERLINK \l _Toc30758 </w:instrText>
          </w:r>
          <w:r>
            <w:rPr>
              <w:rFonts w:ascii="Times New Roman" w:hAnsi="Times New Roman"/>
            </w:rPr>
            <w:fldChar w:fldCharType="separate"/>
          </w:r>
          <w:r>
            <w:rPr>
              <w:rFonts w:ascii="Times New Roman"/>
            </w:rPr>
            <w:t>引言</w:t>
          </w:r>
          <w:r>
            <w:tab/>
          </w:r>
          <w:r>
            <w:fldChar w:fldCharType="begin"/>
          </w:r>
          <w:r>
            <w:instrText xml:space="preserve"> PAGEREF _Toc30758 \h </w:instrText>
          </w:r>
          <w:r>
            <w:fldChar w:fldCharType="separate"/>
          </w:r>
          <w:r>
            <w:t>IV</w:t>
          </w:r>
          <w:r>
            <w:fldChar w:fldCharType="end"/>
          </w:r>
          <w:r>
            <w:rPr>
              <w:rFonts w:ascii="Times New Roman" w:hAnsi="Times New Roman"/>
            </w:rPr>
            <w:fldChar w:fldCharType="end"/>
          </w:r>
        </w:p>
        <w:p w14:paraId="69C9344B">
          <w:pPr>
            <w:pStyle w:val="2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_Toc27594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_Toc27594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046D2C2D">
          <w:pPr>
            <w:pStyle w:val="2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_Toc14759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_Toc14759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99C4E17">
          <w:pPr>
            <w:pStyle w:val="2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_Toc5413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rPr>
            <w:t>术语与定义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_Toc5413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6A255CEE">
          <w:pPr>
            <w:pStyle w:val="2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_Toc8608 </w:instrText>
          </w:r>
          <w:r>
            <w:rPr>
              <w:rFonts w:hint="eastAsia" w:ascii="宋体" w:hAnsi="宋体" w:eastAsia="宋体" w:cs="宋体"/>
            </w:rPr>
            <w:fldChar w:fldCharType="separate"/>
          </w:r>
          <w:r>
            <w:rPr>
              <w:rFonts w:hint="eastAsia" w:ascii="宋体" w:hAnsi="宋体" w:eastAsia="宋体" w:cs="宋体"/>
              <w:i w:val="0"/>
            </w:rPr>
            <w:t xml:space="preserve">4 </w:t>
          </w:r>
          <w:r>
            <w:rPr>
              <w:rFonts w:hint="eastAsia" w:ascii="宋体" w:hAnsi="宋体" w:eastAsia="宋体" w:cs="宋体"/>
            </w:rPr>
            <w:t>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_Toc8608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65F99927">
          <w:pPr>
            <w:pStyle w:val="26"/>
            <w:tabs>
              <w:tab w:val="right" w:leader="dot" w:pos="8306"/>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_Toc10016 </w:instrText>
          </w:r>
          <w:r>
            <w:rPr>
              <w:rFonts w:hint="eastAsia" w:ascii="宋体" w:hAnsi="宋体" w:eastAsia="宋体" w:cs="宋体"/>
            </w:rPr>
            <w:fldChar w:fldCharType="separate"/>
          </w:r>
          <w:r>
            <w:rPr>
              <w:rFonts w:hint="eastAsia" w:ascii="宋体" w:hAnsi="宋体" w:eastAsia="宋体" w:cs="宋体"/>
              <w:kern w:val="0"/>
            </w:rPr>
            <w:t>4.1 数据安全保护目标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_Toc10016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0C2BC449">
          <w:pPr>
            <w:pStyle w:val="26"/>
            <w:tabs>
              <w:tab w:val="right" w:leader="dot" w:pos="8306"/>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_Toc18730 </w:instrText>
          </w:r>
          <w:r>
            <w:rPr>
              <w:rFonts w:hint="eastAsia" w:ascii="宋体" w:hAnsi="宋体" w:eastAsia="宋体" w:cs="宋体"/>
            </w:rPr>
            <w:fldChar w:fldCharType="separate"/>
          </w:r>
          <w:r>
            <w:rPr>
              <w:rFonts w:hint="eastAsia" w:ascii="宋体" w:hAnsi="宋体" w:eastAsia="宋体" w:cs="宋体"/>
              <w:kern w:val="0"/>
            </w:rPr>
            <w:t>4.2 数据安全保护原则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_Toc18730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1389745F">
          <w:pPr>
            <w:pStyle w:val="26"/>
            <w:tabs>
              <w:tab w:val="right" w:leader="dot" w:pos="8306"/>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_Toc10143 </w:instrText>
          </w:r>
          <w:r>
            <w:rPr>
              <w:rFonts w:hint="eastAsia" w:ascii="宋体" w:hAnsi="宋体" w:eastAsia="宋体" w:cs="宋体"/>
            </w:rPr>
            <w:fldChar w:fldCharType="separate"/>
          </w:r>
          <w:r>
            <w:rPr>
              <w:rFonts w:hint="eastAsia" w:ascii="宋体" w:hAnsi="宋体" w:eastAsia="宋体" w:cs="宋体"/>
              <w:kern w:val="0"/>
            </w:rPr>
            <w:t>4.3 数据安全保护框架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_Toc10143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411AEA57">
          <w:pPr>
            <w:pStyle w:val="2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_Toc27124 </w:instrText>
          </w:r>
          <w:r>
            <w:rPr>
              <w:rFonts w:hint="eastAsia" w:ascii="宋体" w:hAnsi="宋体" w:eastAsia="宋体" w:cs="宋体"/>
            </w:rPr>
            <w:fldChar w:fldCharType="separate"/>
          </w:r>
          <w:r>
            <w:rPr>
              <w:rFonts w:hint="eastAsia" w:ascii="宋体" w:hAnsi="宋体" w:eastAsia="宋体" w:cs="宋体"/>
              <w:i w:val="0"/>
              <w:snapToGrid w:val="0"/>
            </w:rPr>
            <w:t xml:space="preserve">5 </w:t>
          </w:r>
          <w:r>
            <w:rPr>
              <w:rFonts w:hint="eastAsia" w:ascii="宋体" w:hAnsi="宋体" w:eastAsia="宋体" w:cs="宋体"/>
              <w:snapToGrid w:val="0"/>
            </w:rPr>
            <w:t>通用要求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_Toc27124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0B3FBD65">
          <w:pPr>
            <w:pStyle w:val="26"/>
            <w:tabs>
              <w:tab w:val="right" w:leader="dot" w:pos="8306"/>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_Toc18312 </w:instrText>
          </w:r>
          <w:r>
            <w:rPr>
              <w:rFonts w:hint="eastAsia" w:ascii="宋体" w:hAnsi="宋体" w:eastAsia="宋体" w:cs="宋体"/>
            </w:rPr>
            <w:fldChar w:fldCharType="separate"/>
          </w:r>
          <w:r>
            <w:rPr>
              <w:rFonts w:hint="eastAsia" w:ascii="宋体" w:hAnsi="宋体" w:eastAsia="宋体" w:cs="宋体"/>
              <w:kern w:val="0"/>
            </w:rPr>
            <w:t>5.1 数据安全责任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_Toc18312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72DF0D57">
          <w:pPr>
            <w:pStyle w:val="26"/>
            <w:tabs>
              <w:tab w:val="right" w:leader="dot" w:pos="8306"/>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_Toc18430 </w:instrText>
          </w:r>
          <w:r>
            <w:rPr>
              <w:rFonts w:hint="eastAsia" w:ascii="宋体" w:hAnsi="宋体" w:eastAsia="宋体" w:cs="宋体"/>
            </w:rPr>
            <w:fldChar w:fldCharType="separate"/>
          </w:r>
          <w:r>
            <w:rPr>
              <w:rFonts w:hint="eastAsia" w:ascii="宋体" w:hAnsi="宋体" w:eastAsia="宋体" w:cs="宋体"/>
              <w:kern w:val="0"/>
            </w:rPr>
            <w:t>5.2 数据分类分级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_Toc18430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005D8A83">
          <w:pPr>
            <w:pStyle w:val="26"/>
            <w:tabs>
              <w:tab w:val="right" w:leader="dot" w:pos="8306"/>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_Toc9785 </w:instrText>
          </w:r>
          <w:r>
            <w:rPr>
              <w:rFonts w:hint="eastAsia" w:ascii="宋体" w:hAnsi="宋体" w:eastAsia="宋体" w:cs="宋体"/>
            </w:rPr>
            <w:fldChar w:fldCharType="separate"/>
          </w:r>
          <w:r>
            <w:rPr>
              <w:rFonts w:hint="eastAsia" w:ascii="宋体" w:hAnsi="宋体" w:eastAsia="宋体" w:cs="宋体"/>
              <w:kern w:val="0"/>
            </w:rPr>
            <w:t>5.3 数据安全保护制度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_Toc9785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0AFCFD1E">
          <w:pPr>
            <w:pStyle w:val="26"/>
            <w:tabs>
              <w:tab w:val="right" w:leader="dot" w:pos="8306"/>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_Toc11043 </w:instrText>
          </w:r>
          <w:r>
            <w:rPr>
              <w:rFonts w:hint="eastAsia" w:ascii="宋体" w:hAnsi="宋体" w:eastAsia="宋体" w:cs="宋体"/>
            </w:rPr>
            <w:fldChar w:fldCharType="separate"/>
          </w:r>
          <w:r>
            <w:rPr>
              <w:rFonts w:hint="eastAsia" w:ascii="宋体" w:hAnsi="宋体" w:eastAsia="宋体" w:cs="宋体"/>
              <w:kern w:val="0"/>
            </w:rPr>
            <w:t>5.4 数据处理安全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_Toc11043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666F8B30">
          <w:pPr>
            <w:pStyle w:val="26"/>
            <w:tabs>
              <w:tab w:val="right" w:leader="dot" w:pos="8306"/>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_Toc16968 </w:instrText>
          </w:r>
          <w:r>
            <w:rPr>
              <w:rFonts w:hint="eastAsia" w:ascii="宋体" w:hAnsi="宋体" w:eastAsia="宋体" w:cs="宋体"/>
            </w:rPr>
            <w:fldChar w:fldCharType="separate"/>
          </w:r>
          <w:r>
            <w:rPr>
              <w:rFonts w:hint="eastAsia" w:ascii="宋体" w:hAnsi="宋体" w:eastAsia="宋体" w:cs="宋体"/>
              <w:kern w:val="0"/>
            </w:rPr>
            <w:t>5.5 风险监测及应急处置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_Toc16968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05A5E145">
          <w:pPr>
            <w:pStyle w:val="2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_Toc15646 </w:instrText>
          </w:r>
          <w:r>
            <w:rPr>
              <w:rFonts w:hint="eastAsia" w:ascii="宋体" w:hAnsi="宋体" w:eastAsia="宋体" w:cs="宋体"/>
            </w:rPr>
            <w:fldChar w:fldCharType="separate"/>
          </w:r>
          <w:r>
            <w:rPr>
              <w:rFonts w:hint="eastAsia" w:ascii="宋体" w:hAnsi="宋体" w:eastAsia="宋体" w:cs="宋体"/>
              <w:i w:val="0"/>
            </w:rPr>
            <w:t xml:space="preserve">6 </w:t>
          </w:r>
          <w:r>
            <w:rPr>
              <w:rFonts w:hint="eastAsia" w:ascii="宋体" w:hAnsi="宋体" w:eastAsia="宋体" w:cs="宋体"/>
            </w:rPr>
            <w:t>重要数据保护要求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_Toc15646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36AE7D3C">
          <w:pPr>
            <w:pStyle w:val="26"/>
            <w:tabs>
              <w:tab w:val="right" w:leader="dot" w:pos="8306"/>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_Toc13821 </w:instrText>
          </w:r>
          <w:r>
            <w:rPr>
              <w:rFonts w:hint="eastAsia" w:ascii="宋体" w:hAnsi="宋体" w:eastAsia="宋体" w:cs="宋体"/>
            </w:rPr>
            <w:fldChar w:fldCharType="separate"/>
          </w:r>
          <w:r>
            <w:rPr>
              <w:rFonts w:hint="eastAsia" w:ascii="宋体" w:hAnsi="宋体" w:eastAsia="宋体" w:cs="宋体"/>
              <w:kern w:val="0"/>
            </w:rPr>
            <w:t>6.1 数据安全管理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_Toc13821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132FF059">
          <w:pPr>
            <w:pStyle w:val="26"/>
            <w:tabs>
              <w:tab w:val="right" w:leader="dot" w:pos="8306"/>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_Toc20652 </w:instrText>
          </w:r>
          <w:r>
            <w:rPr>
              <w:rFonts w:hint="eastAsia" w:ascii="宋体" w:hAnsi="宋体" w:eastAsia="宋体" w:cs="宋体"/>
            </w:rPr>
            <w:fldChar w:fldCharType="separate"/>
          </w:r>
          <w:r>
            <w:rPr>
              <w:rFonts w:hint="eastAsia" w:ascii="宋体" w:hAnsi="宋体" w:eastAsia="宋体" w:cs="宋体"/>
              <w:kern w:val="0"/>
            </w:rPr>
            <w:t>6.2 数据全生命周期防护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_Toc20652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28967B95">
          <w:pPr>
            <w:pStyle w:val="26"/>
            <w:tabs>
              <w:tab w:val="right" w:leader="dot" w:pos="8306"/>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_Toc27757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kern w:val="0"/>
            </w:rPr>
            <w:t>.3 数据安全风险评估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_Toc27757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4D790E7F">
          <w:pPr>
            <w:pStyle w:val="26"/>
            <w:tabs>
              <w:tab w:val="right" w:leader="dot" w:pos="8306"/>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_Toc8879 </w:instrText>
          </w:r>
          <w:r>
            <w:rPr>
              <w:rFonts w:hint="eastAsia" w:ascii="宋体" w:hAnsi="宋体" w:eastAsia="宋体" w:cs="宋体"/>
            </w:rPr>
            <w:fldChar w:fldCharType="separate"/>
          </w:r>
          <w:r>
            <w:rPr>
              <w:rFonts w:hint="eastAsia" w:ascii="宋体" w:hAnsi="宋体" w:eastAsia="宋体" w:cs="宋体"/>
              <w:kern w:val="0"/>
            </w:rPr>
            <w:t>6.4 数据共享调用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_Toc8879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4B41FA8F">
          <w:pPr>
            <w:pStyle w:val="26"/>
            <w:tabs>
              <w:tab w:val="right" w:leader="dot" w:pos="8306"/>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_Toc15498 </w:instrText>
          </w:r>
          <w:r>
            <w:rPr>
              <w:rFonts w:hint="eastAsia" w:ascii="宋体" w:hAnsi="宋体" w:eastAsia="宋体" w:cs="宋体"/>
            </w:rPr>
            <w:fldChar w:fldCharType="separate"/>
          </w:r>
          <w:r>
            <w:rPr>
              <w:rFonts w:hint="eastAsia" w:ascii="宋体" w:hAnsi="宋体" w:eastAsia="宋体" w:cs="宋体"/>
              <w:kern w:val="0"/>
            </w:rPr>
            <w:t>6.5 数据委托处理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_Toc15498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6598DB0A">
          <w:pPr>
            <w:pStyle w:val="26"/>
            <w:tabs>
              <w:tab w:val="right" w:leader="dot" w:pos="8306"/>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_Toc28036 </w:instrText>
          </w:r>
          <w:r>
            <w:rPr>
              <w:rFonts w:hint="eastAsia" w:ascii="宋体" w:hAnsi="宋体" w:eastAsia="宋体" w:cs="宋体"/>
            </w:rPr>
            <w:fldChar w:fldCharType="separate"/>
          </w:r>
          <w:r>
            <w:rPr>
              <w:rFonts w:hint="eastAsia" w:ascii="宋体" w:hAnsi="宋体" w:eastAsia="宋体" w:cs="宋体"/>
              <w:kern w:val="0"/>
            </w:rPr>
            <w:t>6.6 信息系统建设管理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_Toc28036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17F038F4">
          <w:pPr>
            <w:pStyle w:val="26"/>
            <w:tabs>
              <w:tab w:val="right" w:leader="dot" w:pos="8306"/>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_Toc427 </w:instrText>
          </w:r>
          <w:r>
            <w:rPr>
              <w:rFonts w:hint="eastAsia" w:ascii="宋体" w:hAnsi="宋体" w:eastAsia="宋体" w:cs="宋体"/>
            </w:rPr>
            <w:fldChar w:fldCharType="separate"/>
          </w:r>
          <w:r>
            <w:rPr>
              <w:rFonts w:hint="eastAsia" w:ascii="宋体" w:hAnsi="宋体" w:eastAsia="宋体" w:cs="宋体"/>
              <w:kern w:val="0"/>
            </w:rPr>
            <w:t>6.7 日志管理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_Toc427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064E57B2">
          <w:pPr>
            <w:pStyle w:val="26"/>
            <w:tabs>
              <w:tab w:val="right" w:leader="dot" w:pos="8306"/>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_Toc10213 </w:instrText>
          </w:r>
          <w:r>
            <w:rPr>
              <w:rFonts w:hint="eastAsia" w:ascii="宋体" w:hAnsi="宋体" w:eastAsia="宋体" w:cs="宋体"/>
            </w:rPr>
            <w:fldChar w:fldCharType="separate"/>
          </w:r>
          <w:r>
            <w:rPr>
              <w:rFonts w:hint="eastAsia" w:ascii="宋体" w:hAnsi="宋体" w:eastAsia="宋体" w:cs="宋体"/>
              <w:kern w:val="0"/>
            </w:rPr>
            <w:t>6.8 数据转移和删除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_Toc10213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05C1D6C3">
          <w:pPr>
            <w:pStyle w:val="26"/>
            <w:tabs>
              <w:tab w:val="right" w:leader="dot" w:pos="8306"/>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_Toc17750 </w:instrText>
          </w:r>
          <w:r>
            <w:rPr>
              <w:rFonts w:hint="eastAsia" w:ascii="宋体" w:hAnsi="宋体" w:eastAsia="宋体" w:cs="宋体"/>
            </w:rPr>
            <w:fldChar w:fldCharType="separate"/>
          </w:r>
          <w:r>
            <w:rPr>
              <w:rFonts w:hint="eastAsia" w:ascii="宋体" w:hAnsi="宋体" w:eastAsia="宋体" w:cs="宋体"/>
              <w:kern w:val="0"/>
            </w:rPr>
            <w:t>6.9 数据出境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_Toc17750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6BBF3021">
          <w:pPr>
            <w:pStyle w:val="2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_Toc21525 </w:instrText>
          </w:r>
          <w:r>
            <w:rPr>
              <w:rFonts w:hint="eastAsia" w:ascii="宋体" w:hAnsi="宋体" w:eastAsia="宋体" w:cs="宋体"/>
            </w:rPr>
            <w:fldChar w:fldCharType="separate"/>
          </w:r>
          <w:r>
            <w:rPr>
              <w:rFonts w:hint="eastAsia" w:ascii="宋体" w:hAnsi="宋体" w:eastAsia="宋体" w:cs="宋体"/>
              <w:i w:val="0"/>
            </w:rPr>
            <w:t xml:space="preserve">7 </w:t>
          </w:r>
          <w:r>
            <w:rPr>
              <w:rFonts w:hint="eastAsia" w:ascii="宋体" w:hAnsi="宋体" w:eastAsia="宋体" w:cs="宋体"/>
            </w:rPr>
            <w:t>核心数据保护要求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_Toc21525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121F1A0B">
          <w:pPr>
            <w:pStyle w:val="21"/>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_Toc27730 </w:instrText>
          </w:r>
          <w:r>
            <w:rPr>
              <w:rFonts w:hint="eastAsia" w:ascii="宋体" w:hAnsi="宋体" w:eastAsia="宋体" w:cs="宋体"/>
            </w:rPr>
            <w:fldChar w:fldCharType="separate"/>
          </w:r>
          <w:r>
            <w:rPr>
              <w:rFonts w:hint="eastAsia" w:ascii="宋体" w:hAnsi="宋体" w:eastAsia="宋体" w:cs="宋体"/>
              <w:kern w:val="0"/>
            </w:rPr>
            <w:t>参考文</w:t>
          </w:r>
          <w:bookmarkStart w:id="251" w:name="_GoBack"/>
          <w:bookmarkEnd w:id="251"/>
          <w:r>
            <w:rPr>
              <w:rFonts w:hint="eastAsia" w:ascii="宋体" w:hAnsi="宋体" w:eastAsia="宋体" w:cs="宋体"/>
              <w:kern w:val="0"/>
            </w:rPr>
            <w:t>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_Toc27730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23E7A0A7">
          <w:pPr>
            <w:widowControl/>
            <w:adjustRightInd/>
            <w:spacing w:line="400" w:lineRule="atLeast"/>
            <w:jc w:val="left"/>
            <w:rPr>
              <w:rFonts w:ascii="Times New Roman" w:hAnsi="Times New Roman"/>
            </w:rPr>
            <w:sectPr>
              <w:headerReference r:id="rId15" w:type="default"/>
              <w:footerReference r:id="rId16" w:type="default"/>
              <w:footerReference r:id="rId17" w:type="even"/>
              <w:pgSz w:w="11906" w:h="16838"/>
              <w:pgMar w:top="1440" w:right="1800" w:bottom="1440" w:left="1800" w:header="1417" w:footer="1134" w:gutter="0"/>
              <w:pgNumType w:fmt="upperRoman" w:start="1"/>
              <w:cols w:space="425" w:num="1"/>
              <w:docGrid w:type="lines" w:linePitch="312" w:charSpace="0"/>
            </w:sectPr>
          </w:pPr>
          <w:r>
            <w:rPr>
              <w:rFonts w:ascii="Times New Roman" w:hAnsi="Times New Roman"/>
            </w:rPr>
            <w:fldChar w:fldCharType="end"/>
          </w:r>
        </w:p>
      </w:sdtContent>
    </w:sdt>
    <w:p w14:paraId="080AE9BC">
      <w:pPr>
        <w:pStyle w:val="110"/>
        <w:numPr>
          <w:ilvl w:val="0"/>
          <w:numId w:val="0"/>
        </w:numPr>
        <w:spacing w:before="312" w:after="312"/>
        <w:jc w:val="center"/>
        <w:rPr>
          <w:rFonts w:ascii="Times New Roman"/>
          <w:sz w:val="32"/>
        </w:rPr>
      </w:pPr>
      <w:bookmarkStart w:id="19" w:name="_Toc136442129"/>
      <w:bookmarkStart w:id="20" w:name="_Toc149911364"/>
      <w:bookmarkStart w:id="21" w:name="_Toc16294"/>
      <w:r>
        <w:rPr>
          <w:rFonts w:ascii="Times New Roman"/>
          <w:sz w:val="32"/>
        </w:rPr>
        <w:t>前  言</w:t>
      </w:r>
      <w:bookmarkEnd w:id="19"/>
      <w:bookmarkEnd w:id="20"/>
      <w:bookmarkEnd w:id="21"/>
    </w:p>
    <w:p w14:paraId="25B57437">
      <w:pPr>
        <w:pStyle w:val="62"/>
        <w:ind w:left="0" w:leftChars="0" w:firstLine="420" w:firstLineChars="200"/>
        <w:rPr>
          <w:rFonts w:hAnsi="宋体" w:eastAsia="宋体"/>
          <w:sz w:val="21"/>
          <w:szCs w:val="21"/>
        </w:rPr>
      </w:pPr>
      <w:r>
        <w:rPr>
          <w:rFonts w:hAnsi="宋体" w:eastAsia="宋体"/>
          <w:sz w:val="21"/>
          <w:szCs w:val="21"/>
        </w:rPr>
        <w:t>本文件按照GB/T 1.1—2020《标准化工作导则　第1部分：标准化文件的结构和起草规则》的规定起草。</w:t>
      </w:r>
    </w:p>
    <w:p w14:paraId="3D382E2F">
      <w:pPr>
        <w:pStyle w:val="62"/>
        <w:ind w:left="0" w:leftChars="0" w:firstLine="420" w:firstLineChars="200"/>
        <w:rPr>
          <w:rFonts w:hAnsi="宋体" w:eastAsia="宋体"/>
          <w:sz w:val="21"/>
          <w:szCs w:val="21"/>
        </w:rPr>
      </w:pPr>
      <w:r>
        <w:rPr>
          <w:rFonts w:hAnsi="宋体" w:eastAsia="宋体"/>
          <w:sz w:val="21"/>
          <w:szCs w:val="21"/>
        </w:rPr>
        <w:t>本文件由全国</w:t>
      </w:r>
      <w:r>
        <w:rPr>
          <w:rFonts w:hint="eastAsia" w:hAnsi="宋体" w:eastAsia="宋体"/>
          <w:sz w:val="21"/>
          <w:szCs w:val="21"/>
        </w:rPr>
        <w:t>网络</w:t>
      </w:r>
      <w:r>
        <w:rPr>
          <w:rFonts w:hAnsi="宋体" w:eastAsia="宋体"/>
          <w:sz w:val="21"/>
          <w:szCs w:val="21"/>
        </w:rPr>
        <w:t>安全标准化技术委员会（SAC/TC 260）提出并归口。</w:t>
      </w:r>
    </w:p>
    <w:p w14:paraId="2F509080">
      <w:pPr>
        <w:pStyle w:val="62"/>
        <w:ind w:left="0" w:leftChars="0" w:firstLine="420" w:firstLineChars="200"/>
        <w:rPr>
          <w:rFonts w:hAnsi="宋体" w:eastAsia="宋体"/>
          <w:sz w:val="21"/>
          <w:szCs w:val="21"/>
        </w:rPr>
      </w:pPr>
      <w:r>
        <w:rPr>
          <w:rFonts w:hAnsi="宋体" w:eastAsia="宋体"/>
          <w:sz w:val="21"/>
          <w:szCs w:val="21"/>
        </w:rPr>
        <w:t>本文件起草单位：</w:t>
      </w:r>
    </w:p>
    <w:p w14:paraId="40C446A8">
      <w:pPr>
        <w:pStyle w:val="62"/>
        <w:ind w:left="0" w:leftChars="0" w:firstLine="420" w:firstLineChars="200"/>
        <w:rPr>
          <w:rFonts w:hAnsi="宋体" w:eastAsia="宋体"/>
          <w:sz w:val="21"/>
          <w:szCs w:val="21"/>
        </w:rPr>
      </w:pPr>
      <w:r>
        <w:rPr>
          <w:rFonts w:hAnsi="宋体" w:eastAsia="宋体"/>
          <w:sz w:val="21"/>
          <w:szCs w:val="21"/>
        </w:rPr>
        <w:t>本文件主要起草人：</w:t>
      </w:r>
    </w:p>
    <w:p w14:paraId="44D771CC">
      <w:pPr>
        <w:pStyle w:val="62"/>
      </w:pPr>
    </w:p>
    <w:p w14:paraId="183585FD">
      <w:pPr>
        <w:pStyle w:val="62"/>
      </w:pPr>
    </w:p>
    <w:p w14:paraId="5861FD72">
      <w:pPr>
        <w:pStyle w:val="62"/>
      </w:pPr>
    </w:p>
    <w:p w14:paraId="4244E3A4">
      <w:pPr>
        <w:widowControl/>
        <w:adjustRightInd/>
        <w:spacing w:line="240" w:lineRule="auto"/>
        <w:jc w:val="left"/>
        <w:rPr>
          <w:rFonts w:ascii="Times New Roman" w:hAnsi="Times New Roman"/>
          <w:kern w:val="0"/>
        </w:rPr>
      </w:pPr>
      <w:r>
        <w:rPr>
          <w:rFonts w:ascii="Times New Roman" w:hAnsi="Times New Roman"/>
        </w:rPr>
        <w:br w:type="page"/>
      </w:r>
      <w:bookmarkStart w:id="22" w:name="_Hlk66194249"/>
      <w:bookmarkStart w:id="23" w:name="BookMark3"/>
    </w:p>
    <w:bookmarkEnd w:id="22"/>
    <w:p w14:paraId="67DDF3A0">
      <w:pPr>
        <w:pStyle w:val="110"/>
        <w:numPr>
          <w:ilvl w:val="0"/>
          <w:numId w:val="0"/>
        </w:numPr>
        <w:spacing w:before="312" w:after="312"/>
        <w:jc w:val="center"/>
        <w:rPr>
          <w:rFonts w:ascii="Times New Roman"/>
          <w:sz w:val="32"/>
        </w:rPr>
      </w:pPr>
      <w:bookmarkStart w:id="24" w:name="_Toc66194804"/>
      <w:bookmarkStart w:id="25" w:name="_Toc66777493"/>
      <w:bookmarkStart w:id="26" w:name="_Toc136442130"/>
      <w:bookmarkStart w:id="27" w:name="_Toc149911365"/>
      <w:bookmarkStart w:id="28" w:name="_Toc188346734"/>
      <w:bookmarkStart w:id="29" w:name="_Toc8313_WPSOffice_Level1"/>
      <w:bookmarkStart w:id="30" w:name="_Toc20425"/>
      <w:bookmarkStart w:id="31" w:name="_Toc30758"/>
      <w:r>
        <w:rPr>
          <w:rFonts w:ascii="Times New Roman"/>
          <w:sz w:val="32"/>
        </w:rPr>
        <w:t>引</w:t>
      </w:r>
      <w:bookmarkStart w:id="32" w:name="_Hlk67739284"/>
      <w:r>
        <w:rPr>
          <w:rFonts w:ascii="Times New Roman"/>
          <w:sz w:val="32"/>
        </w:rPr>
        <w:t>  </w:t>
      </w:r>
      <w:bookmarkEnd w:id="32"/>
      <w:r>
        <w:rPr>
          <w:rFonts w:ascii="Times New Roman"/>
          <w:sz w:val="32"/>
        </w:rPr>
        <w:t>言</w:t>
      </w:r>
      <w:bookmarkEnd w:id="24"/>
      <w:bookmarkEnd w:id="25"/>
      <w:bookmarkEnd w:id="26"/>
      <w:bookmarkEnd w:id="27"/>
      <w:bookmarkEnd w:id="28"/>
      <w:bookmarkEnd w:id="29"/>
      <w:bookmarkEnd w:id="30"/>
      <w:bookmarkEnd w:id="31"/>
    </w:p>
    <w:p w14:paraId="48D8344A">
      <w:pPr>
        <w:pStyle w:val="62"/>
        <w:ind w:left="0" w:leftChars="0" w:firstLine="420" w:firstLineChars="200"/>
        <w:rPr>
          <w:rFonts w:hAnsi="宋体" w:eastAsia="宋体"/>
          <w:sz w:val="21"/>
          <w:szCs w:val="21"/>
        </w:rPr>
      </w:pPr>
      <w:r>
        <w:rPr>
          <w:rFonts w:hint="eastAsia" w:hAnsi="宋体" w:eastAsia="宋体"/>
          <w:sz w:val="21"/>
          <w:szCs w:val="21"/>
        </w:rPr>
        <w:t>2021年9月1日，《中华人民共和国数据安全法》正式施行，明确规定“国家建立数据分类分级保护制度”。开展数据分类分级保护工作，首先需要对数据进行分类分级，识别涉及的重要数据和核心数据，然后建立相应的数据安全保护措施。2024年3月15日，GB/T 43697-2024 《数据安全技术 数据分类分级规则》发布，规定了数据分类分级的原则、框架、方法和流程，给出了重要数据识别指南，可用于指导各行业领域、各地区、各部门和数据处理者开展数据分类分级工作。</w:t>
      </w:r>
    </w:p>
    <w:p w14:paraId="295ADBB1">
      <w:pPr>
        <w:pStyle w:val="62"/>
        <w:ind w:left="0" w:leftChars="0" w:firstLine="420" w:firstLineChars="200"/>
        <w:rPr>
          <w:rFonts w:hAnsi="宋体" w:eastAsia="宋体"/>
          <w:sz w:val="21"/>
          <w:szCs w:val="21"/>
        </w:rPr>
      </w:pPr>
      <w:r>
        <w:rPr>
          <w:rFonts w:hint="eastAsia" w:hAnsi="宋体" w:eastAsia="宋体"/>
          <w:sz w:val="21"/>
          <w:szCs w:val="21"/>
        </w:rPr>
        <w:t>本文件在国家数据安全工作协调机制指导下，根据《中华人民共和国数据安全法》《中华人民共和国网络安全法》《中华人民共和国个人信息保护法》及有关规定，在GB/T 43697-2024《数据安全技术 数据分类分级规则》的基础上，规定数据安全保护的通用要求和重要数据、核心数据专门保护要求，用于指导各行业领域、各地区、各部门和数据处理者在数据分类分级的基础上开展数据安全保护工作。</w:t>
      </w:r>
    </w:p>
    <w:p w14:paraId="1DAAE2DB">
      <w:pPr>
        <w:pStyle w:val="62"/>
        <w:ind w:left="0" w:leftChars="0" w:firstLine="420" w:firstLineChars="200"/>
        <w:rPr>
          <w:rFonts w:hAnsi="宋体" w:eastAsia="宋体"/>
          <w:sz w:val="21"/>
          <w:szCs w:val="21"/>
        </w:rPr>
      </w:pPr>
      <w:r>
        <w:rPr>
          <w:rFonts w:hint="eastAsia" w:hAnsi="宋体" w:eastAsia="宋体"/>
          <w:sz w:val="21"/>
          <w:szCs w:val="21"/>
        </w:rPr>
        <w:t>国家有关主管（监管）部门按照数据分类分级保护制度，确定本部门以及主管（监管）行业领域的重要数据目录，建立健全全流程数据安全管理制度，指导重要数据和核心数据的处理者在遵循法律法规有关规定的基础上参考本文件对列入目录的数据进行重点保护。</w:t>
      </w:r>
    </w:p>
    <w:p w14:paraId="3FCD9EF6">
      <w:pPr>
        <w:pStyle w:val="62"/>
        <w:ind w:left="0" w:leftChars="0" w:firstLine="420" w:firstLineChars="200"/>
        <w:sectPr>
          <w:type w:val="oddPage"/>
          <w:pgSz w:w="11906" w:h="16838"/>
          <w:pgMar w:top="1440" w:right="1800" w:bottom="1440" w:left="1800" w:header="1417" w:footer="1134" w:gutter="0"/>
          <w:pgNumType w:fmt="upperRoman"/>
          <w:cols w:space="425" w:num="1"/>
          <w:docGrid w:type="lines" w:linePitch="312" w:charSpace="0"/>
        </w:sectPr>
      </w:pPr>
      <w:r>
        <w:rPr>
          <w:rFonts w:hint="eastAsia" w:hAnsi="宋体" w:eastAsia="宋体"/>
          <w:sz w:val="21"/>
          <w:szCs w:val="21"/>
        </w:rPr>
        <w:t>数据处理者按照业务所属行业领域的数据分类分级标准规范，及时识别和报送本单位本组织的重要数据目录信息，在遵循法律法规有关规定的基础上，参考本文件对列入目录的数据进行重点保护。</w:t>
      </w:r>
    </w:p>
    <w:bookmarkEnd w:id="23"/>
    <w:p w14:paraId="4E580E12">
      <w:pPr>
        <w:spacing w:line="20" w:lineRule="exact"/>
        <w:jc w:val="center"/>
        <w:rPr>
          <w:rFonts w:ascii="Times New Roman" w:hAnsi="Times New Roman"/>
          <w:sz w:val="32"/>
        </w:rPr>
      </w:pPr>
      <w:bookmarkStart w:id="33" w:name="BookMark4"/>
    </w:p>
    <w:p w14:paraId="2320A60D">
      <w:pPr>
        <w:spacing w:line="20" w:lineRule="exact"/>
        <w:jc w:val="center"/>
        <w:rPr>
          <w:rFonts w:ascii="Times New Roman" w:hAnsi="Times New Roman"/>
          <w:sz w:val="32"/>
        </w:rPr>
      </w:pPr>
    </w:p>
    <w:sdt>
      <w:sdtPr>
        <w:rPr>
          <w:rFonts w:ascii="Times New Roman" w:hAnsi="Times New Roman"/>
        </w:rPr>
        <w:tag w:val="NEW_STAND_NAME"/>
        <w:id w:val="1926606100"/>
        <w:lock w:val="sdtLocked"/>
        <w:placeholder>
          <w:docPart w:val="CD72967043304084A6156D0C25331EB5"/>
        </w:placeholder>
      </w:sdtPr>
      <w:sdtEndPr>
        <w:rPr>
          <w:rFonts w:ascii="Times New Roman" w:hAnsi="Times New Roman"/>
        </w:rPr>
      </w:sdtEndPr>
      <w:sdtContent>
        <w:p w14:paraId="368F0E93">
          <w:pPr>
            <w:pStyle w:val="183"/>
            <w:spacing w:before="312" w:beforeLines="100" w:after="686" w:afterLines="220"/>
            <w:rPr>
              <w:rFonts w:ascii="Times New Roman" w:hAnsi="Times New Roman"/>
            </w:rPr>
          </w:pPr>
          <w:bookmarkStart w:id="34" w:name="_Toc6939_WPSOffice_Level1"/>
          <w:bookmarkStart w:id="35" w:name="_Toc161154558"/>
          <w:bookmarkStart w:id="36" w:name="_Toc149911253"/>
          <w:bookmarkStart w:id="37" w:name="_Toc172208044"/>
          <w:bookmarkStart w:id="38" w:name="_Toc172208085"/>
          <w:bookmarkStart w:id="39" w:name="_Toc149911366"/>
          <w:bookmarkStart w:id="40" w:name="_Toc172545116"/>
          <w:bookmarkStart w:id="41" w:name="_Toc170602078"/>
          <w:bookmarkStart w:id="42" w:name="_Toc172207924"/>
          <w:bookmarkStart w:id="43" w:name="NEW_STAND_NAME"/>
          <w:bookmarkStart w:id="44" w:name="_Toc172545152"/>
          <w:r>
            <w:rPr>
              <w:rFonts w:hint="eastAsia" w:ascii="Times New Roman" w:hAnsi="Times New Roman"/>
            </w:rPr>
            <w:t>数据</w:t>
          </w:r>
          <w:r>
            <w:rPr>
              <w:rFonts w:ascii="Times New Roman" w:hAnsi="Times New Roman"/>
            </w:rPr>
            <w:t>安全技术　</w:t>
          </w:r>
          <w:bookmarkEnd w:id="34"/>
          <w:r>
            <w:rPr>
              <w:rFonts w:ascii="Times New Roman" w:hAnsi="Times New Roman"/>
            </w:rPr>
            <w:t>数据安全保护要求</w:t>
          </w:r>
        </w:p>
      </w:sdtContent>
    </w:sdt>
    <w:bookmarkEnd w:id="33"/>
    <w:bookmarkEnd w:id="35"/>
    <w:bookmarkEnd w:id="36"/>
    <w:bookmarkEnd w:id="37"/>
    <w:bookmarkEnd w:id="38"/>
    <w:bookmarkEnd w:id="39"/>
    <w:bookmarkEnd w:id="40"/>
    <w:bookmarkEnd w:id="41"/>
    <w:bookmarkEnd w:id="42"/>
    <w:bookmarkEnd w:id="43"/>
    <w:bookmarkEnd w:id="44"/>
    <w:p w14:paraId="292EECAE">
      <w:pPr>
        <w:pStyle w:val="110"/>
        <w:spacing w:before="312" w:after="312"/>
        <w:rPr>
          <w:rFonts w:ascii="Times New Roman"/>
        </w:rPr>
      </w:pPr>
      <w:bookmarkStart w:id="45" w:name="_Toc26986771"/>
      <w:bookmarkStart w:id="46" w:name="_Toc136442131"/>
      <w:bookmarkStart w:id="47" w:name="_Toc26986530"/>
      <w:bookmarkStart w:id="48" w:name="_Toc26648465"/>
      <w:bookmarkStart w:id="49" w:name="_Toc149911367"/>
      <w:bookmarkStart w:id="50" w:name="_Toc17233333"/>
      <w:bookmarkStart w:id="51" w:name="_Toc66777494"/>
      <w:bookmarkStart w:id="52" w:name="_Toc32187"/>
      <w:bookmarkStart w:id="53" w:name="_Toc24884211"/>
      <w:bookmarkStart w:id="54" w:name="_Toc66194805"/>
      <w:bookmarkStart w:id="55" w:name="_Toc24884218"/>
      <w:bookmarkStart w:id="56" w:name="_Toc66191241"/>
      <w:bookmarkStart w:id="57" w:name="_Toc26718930"/>
      <w:bookmarkStart w:id="58" w:name="_Toc18581_WPSOffice_Level1"/>
      <w:bookmarkStart w:id="59" w:name="_Toc17233325"/>
      <w:bookmarkStart w:id="60" w:name="_Toc27594"/>
      <w:bookmarkStart w:id="61" w:name="_Toc26986772"/>
      <w:bookmarkStart w:id="62" w:name="_Toc26718931"/>
      <w:bookmarkStart w:id="63" w:name="_Toc26986531"/>
      <w:bookmarkStart w:id="64" w:name="_Toc61946887"/>
      <w:bookmarkStart w:id="65" w:name="_Toc52353137"/>
      <w:bookmarkStart w:id="66" w:name="_Toc50714376"/>
      <w:bookmarkStart w:id="67" w:name="_Toc65612251"/>
      <w:r>
        <w:rPr>
          <w:rFonts w:ascii="Times New Roman"/>
        </w:rPr>
        <w:t>范围</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83A896F">
      <w:pPr>
        <w:pStyle w:val="62"/>
        <w:ind w:left="0" w:leftChars="0" w:firstLine="420" w:firstLineChars="200"/>
        <w:rPr>
          <w:rFonts w:hAnsi="宋体" w:eastAsia="宋体"/>
          <w:sz w:val="21"/>
          <w:szCs w:val="21"/>
        </w:rPr>
      </w:pPr>
      <w:bookmarkStart w:id="68" w:name="_Toc24884219"/>
      <w:bookmarkStart w:id="69" w:name="_Toc26648466"/>
      <w:bookmarkStart w:id="70" w:name="_Toc24884212"/>
      <w:bookmarkStart w:id="71" w:name="_Toc17233334"/>
      <w:bookmarkStart w:id="72" w:name="_Toc17233326"/>
      <w:r>
        <w:rPr>
          <w:rFonts w:hint="eastAsia" w:hAnsi="宋体" w:eastAsia="宋体"/>
          <w:sz w:val="21"/>
          <w:szCs w:val="21"/>
        </w:rPr>
        <w:t>本文件提出了数据安全保护原则、目标和框架，规定了数据安全保护的通用要求，及重要数据、核心数据安全保护的专门要求。</w:t>
      </w:r>
    </w:p>
    <w:p w14:paraId="48B71FF8">
      <w:pPr>
        <w:pStyle w:val="62"/>
        <w:ind w:left="0" w:leftChars="0" w:firstLine="420" w:firstLineChars="200"/>
        <w:rPr>
          <w:rFonts w:hAnsi="宋体" w:eastAsia="宋体"/>
          <w:sz w:val="21"/>
          <w:szCs w:val="21"/>
        </w:rPr>
      </w:pPr>
      <w:r>
        <w:rPr>
          <w:rFonts w:hint="eastAsia" w:hAnsi="宋体" w:eastAsia="宋体"/>
          <w:sz w:val="21"/>
          <w:szCs w:val="21"/>
        </w:rPr>
        <w:t>本文件适用于指导各行业领域、各地区、各部门和数据处理者开展数据分类分级保护工作，也可为主管（监管）部门、第三方评估机构等组织对数据安全进行监督、管理和评估提供参考。</w:t>
      </w:r>
    </w:p>
    <w:p w14:paraId="34525339">
      <w:pPr>
        <w:pStyle w:val="62"/>
        <w:ind w:left="0" w:leftChars="0" w:firstLine="420" w:firstLineChars="200"/>
        <w:rPr>
          <w:rFonts w:hAnsi="宋体" w:eastAsia="宋体"/>
          <w:sz w:val="21"/>
          <w:szCs w:val="21"/>
        </w:rPr>
      </w:pPr>
      <w:r>
        <w:rPr>
          <w:rFonts w:hint="eastAsia" w:hAnsi="宋体" w:eastAsia="宋体"/>
          <w:sz w:val="21"/>
          <w:szCs w:val="21"/>
        </w:rPr>
        <w:t>本文件不适用于涉及国家秘密的数据和军事数据。</w:t>
      </w:r>
    </w:p>
    <w:bookmarkEnd w:id="68"/>
    <w:bookmarkEnd w:id="69"/>
    <w:bookmarkEnd w:id="70"/>
    <w:bookmarkEnd w:id="71"/>
    <w:bookmarkEnd w:id="72"/>
    <w:p w14:paraId="554F7B49">
      <w:pPr>
        <w:pStyle w:val="110"/>
        <w:spacing w:before="312" w:after="312"/>
        <w:rPr>
          <w:rFonts w:ascii="Times New Roman"/>
        </w:rPr>
      </w:pPr>
      <w:bookmarkStart w:id="73" w:name="_Toc149911368"/>
      <w:bookmarkStart w:id="74" w:name="_Toc66777495"/>
      <w:bookmarkStart w:id="75" w:name="_Toc66191242"/>
      <w:bookmarkStart w:id="76" w:name="_Toc136442132"/>
      <w:bookmarkStart w:id="77" w:name="_Toc66194806"/>
      <w:bookmarkStart w:id="78" w:name="_Toc13191"/>
      <w:bookmarkStart w:id="79" w:name="_Toc20600_WPSOffice_Level1"/>
      <w:bookmarkStart w:id="80" w:name="_Toc14759"/>
      <w:r>
        <w:rPr>
          <w:rFonts w:ascii="Times New Roman"/>
        </w:rPr>
        <w:t>规范性引用文件</w:t>
      </w:r>
      <w:bookmarkEnd w:id="61"/>
      <w:bookmarkEnd w:id="62"/>
      <w:bookmarkEnd w:id="63"/>
      <w:bookmarkEnd w:id="73"/>
      <w:bookmarkEnd w:id="74"/>
      <w:bookmarkEnd w:id="75"/>
      <w:bookmarkEnd w:id="76"/>
      <w:bookmarkEnd w:id="77"/>
      <w:bookmarkEnd w:id="78"/>
      <w:bookmarkEnd w:id="79"/>
      <w:bookmarkEnd w:id="80"/>
    </w:p>
    <w:sdt>
      <w:sdtPr>
        <w:rPr>
          <w:rFonts w:hAnsi="宋体" w:eastAsia="宋体"/>
          <w:sz w:val="21"/>
          <w:szCs w:val="21"/>
        </w:rPr>
        <w:id w:val="715848253"/>
        <w:placeholder>
          <w:docPart w:val="85D7B0AC2C9B430B878EB7A4A53F219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Ansi="宋体" w:eastAsia="宋体"/>
          <w:sz w:val="21"/>
          <w:szCs w:val="21"/>
        </w:rPr>
      </w:sdtEndPr>
      <w:sdtContent>
        <w:p w14:paraId="65398798">
          <w:pPr>
            <w:pStyle w:val="62"/>
            <w:ind w:left="0" w:leftChars="0" w:firstLine="420" w:firstLineChars="200"/>
          </w:pPr>
          <w:r>
            <w:rPr>
              <w:rFonts w:hAnsi="宋体" w:eastAsia="宋体"/>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B13B785">
      <w:pPr>
        <w:widowControl/>
        <w:autoSpaceDE w:val="0"/>
        <w:autoSpaceDN w:val="0"/>
        <w:adjustRightInd/>
        <w:spacing w:line="240" w:lineRule="auto"/>
        <w:ind w:firstLine="420" w:firstLineChars="200"/>
        <w:rPr>
          <w:rFonts w:ascii="Times New Roman" w:hAnsi="Times New Roman"/>
          <w:kern w:val="0"/>
          <w:szCs w:val="20"/>
          <w:lang w:val="de-DE"/>
        </w:rPr>
      </w:pPr>
      <w:r>
        <w:rPr>
          <w:rFonts w:ascii="Times New Roman" w:hAnsi="Times New Roman"/>
          <w:kern w:val="0"/>
          <w:szCs w:val="20"/>
          <w:lang w:val="de-DE"/>
        </w:rPr>
        <w:t>GB/T 22239　信息安全技术　网络安全等级保护基本要求</w:t>
      </w:r>
    </w:p>
    <w:p w14:paraId="6E745955">
      <w:pPr>
        <w:widowControl/>
        <w:autoSpaceDE w:val="0"/>
        <w:autoSpaceDN w:val="0"/>
        <w:adjustRightInd/>
        <w:spacing w:line="240" w:lineRule="auto"/>
        <w:ind w:firstLine="420" w:firstLineChars="200"/>
        <w:rPr>
          <w:rFonts w:ascii="Times New Roman" w:hAnsi="Times New Roman"/>
          <w:kern w:val="0"/>
          <w:szCs w:val="20"/>
          <w:lang w:val="de-DE"/>
        </w:rPr>
      </w:pPr>
      <w:r>
        <w:rPr>
          <w:rFonts w:ascii="Times New Roman" w:hAnsi="Times New Roman"/>
          <w:kern w:val="0"/>
          <w:szCs w:val="20"/>
          <w:lang w:val="de-DE"/>
        </w:rPr>
        <w:t>GB/T 25069　信息安全技术　术语</w:t>
      </w:r>
    </w:p>
    <w:p w14:paraId="00940100">
      <w:pPr>
        <w:widowControl/>
        <w:autoSpaceDE w:val="0"/>
        <w:autoSpaceDN w:val="0"/>
        <w:adjustRightInd/>
        <w:spacing w:line="240" w:lineRule="auto"/>
        <w:ind w:firstLine="420" w:firstLineChars="200"/>
        <w:rPr>
          <w:rFonts w:ascii="Times New Roman" w:hAnsi="Times New Roman"/>
          <w:kern w:val="0"/>
          <w:szCs w:val="20"/>
          <w:lang w:val="de-DE"/>
        </w:rPr>
      </w:pPr>
      <w:r>
        <w:rPr>
          <w:rFonts w:ascii="Times New Roman" w:hAnsi="Times New Roman"/>
          <w:kern w:val="0"/>
          <w:szCs w:val="20"/>
          <w:lang w:val="de-DE"/>
        </w:rPr>
        <w:t xml:space="preserve">GB/T </w:t>
      </w:r>
      <w:r>
        <w:rPr>
          <w:rFonts w:hint="eastAsia" w:ascii="Times New Roman" w:hAnsi="Times New Roman"/>
          <w:kern w:val="0"/>
          <w:szCs w:val="20"/>
        </w:rPr>
        <w:t>35273</w:t>
      </w:r>
      <w:r>
        <w:rPr>
          <w:rFonts w:ascii="Times New Roman" w:hAnsi="Times New Roman"/>
          <w:kern w:val="0"/>
          <w:szCs w:val="20"/>
          <w:lang w:val="de-DE"/>
        </w:rPr>
        <w:t>　信息安全技术　</w:t>
      </w:r>
      <w:r>
        <w:rPr>
          <w:rFonts w:hint="eastAsia" w:ascii="Times New Roman" w:hAnsi="Times New Roman"/>
          <w:kern w:val="0"/>
          <w:szCs w:val="20"/>
        </w:rPr>
        <w:t>个人信息安全规范</w:t>
      </w:r>
    </w:p>
    <w:p w14:paraId="48F71EDD">
      <w:pPr>
        <w:widowControl/>
        <w:autoSpaceDE w:val="0"/>
        <w:autoSpaceDN w:val="0"/>
        <w:adjustRightInd/>
        <w:spacing w:line="240" w:lineRule="auto"/>
        <w:ind w:firstLine="420" w:firstLineChars="200"/>
        <w:rPr>
          <w:rFonts w:ascii="Times New Roman" w:hAnsi="Times New Roman"/>
          <w:kern w:val="0"/>
          <w:szCs w:val="20"/>
          <w:lang w:val="de-DE"/>
        </w:rPr>
      </w:pPr>
      <w:r>
        <w:rPr>
          <w:rFonts w:hint="eastAsia" w:ascii="Times New Roman" w:hAnsi="Times New Roman"/>
          <w:kern w:val="0"/>
          <w:szCs w:val="20"/>
          <w:lang w:val="de-DE"/>
        </w:rPr>
        <w:t>GB/T 43697　数据安全技术　数据分类分级规则</w:t>
      </w:r>
    </w:p>
    <w:p w14:paraId="4B67D12A">
      <w:pPr>
        <w:widowControl/>
        <w:autoSpaceDE w:val="0"/>
        <w:autoSpaceDN w:val="0"/>
        <w:adjustRightInd/>
        <w:spacing w:line="240" w:lineRule="auto"/>
        <w:ind w:firstLine="420" w:firstLineChars="200"/>
        <w:rPr>
          <w:rFonts w:ascii="Times New Roman" w:hAnsi="Times New Roman"/>
          <w:kern w:val="0"/>
          <w:szCs w:val="20"/>
          <w:lang w:val="de-DE"/>
        </w:rPr>
      </w:pPr>
      <w:r>
        <w:rPr>
          <w:rFonts w:hint="eastAsia" w:ascii="Times New Roman" w:hAnsi="Times New Roman"/>
          <w:kern w:val="0"/>
          <w:szCs w:val="20"/>
          <w:lang w:val="de-DE"/>
        </w:rPr>
        <w:t>GB/T 45396　数据安全技术　政务数据处理安全要求</w:t>
      </w:r>
    </w:p>
    <w:p w14:paraId="68D00522">
      <w:pPr>
        <w:widowControl/>
        <w:autoSpaceDE w:val="0"/>
        <w:autoSpaceDN w:val="0"/>
        <w:adjustRightInd/>
        <w:spacing w:line="240" w:lineRule="auto"/>
        <w:ind w:firstLine="420" w:firstLineChars="200"/>
        <w:rPr>
          <w:rFonts w:ascii="Times New Roman" w:hAnsi="Times New Roman"/>
          <w:kern w:val="0"/>
          <w:szCs w:val="20"/>
          <w:lang w:val="de-DE"/>
        </w:rPr>
      </w:pPr>
      <w:r>
        <w:rPr>
          <w:rFonts w:hint="eastAsia" w:ascii="Times New Roman" w:hAnsi="Times New Roman"/>
          <w:kern w:val="0"/>
          <w:szCs w:val="20"/>
          <w:lang w:val="de-DE"/>
        </w:rPr>
        <w:t>GB/T 45574　数据安全技术　敏感个人信息处理安全要求</w:t>
      </w:r>
    </w:p>
    <w:p w14:paraId="0F61D121">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lang w:val="de-DE"/>
        </w:rPr>
        <w:t>GB/T 45577　数据安全技术　数据安全风险评估方法</w:t>
      </w:r>
    </w:p>
    <w:p w14:paraId="36A0A86B">
      <w:pPr>
        <w:pStyle w:val="110"/>
        <w:spacing w:before="312" w:after="312"/>
        <w:rPr>
          <w:rFonts w:ascii="Times New Roman"/>
        </w:rPr>
      </w:pPr>
      <w:bookmarkStart w:id="81" w:name="_Toc3721_WPSOffice_Level1"/>
      <w:bookmarkStart w:id="82" w:name="_Toc66777496"/>
      <w:bookmarkStart w:id="83" w:name="_Toc149911369"/>
      <w:bookmarkStart w:id="84" w:name="_Toc136442133"/>
      <w:bookmarkStart w:id="85" w:name="_Toc66194807"/>
      <w:bookmarkStart w:id="86" w:name="_Toc10668"/>
      <w:bookmarkStart w:id="87" w:name="_Toc5413"/>
      <w:r>
        <w:rPr>
          <w:rFonts w:ascii="Times New Roman"/>
        </w:rPr>
        <w:t>术语与定义</w:t>
      </w:r>
      <w:bookmarkEnd w:id="64"/>
      <w:bookmarkEnd w:id="65"/>
      <w:bookmarkEnd w:id="66"/>
      <w:bookmarkEnd w:id="67"/>
      <w:bookmarkEnd w:id="81"/>
      <w:bookmarkEnd w:id="82"/>
      <w:bookmarkEnd w:id="83"/>
      <w:bookmarkEnd w:id="84"/>
      <w:bookmarkEnd w:id="85"/>
      <w:bookmarkEnd w:id="86"/>
      <w:bookmarkEnd w:id="87"/>
    </w:p>
    <w:p w14:paraId="4C69EB02">
      <w:pPr>
        <w:widowControl/>
        <w:autoSpaceDE w:val="0"/>
        <w:autoSpaceDN w:val="0"/>
        <w:adjustRightInd/>
        <w:spacing w:line="240" w:lineRule="auto"/>
        <w:ind w:firstLine="420" w:firstLineChars="200"/>
        <w:rPr>
          <w:rFonts w:ascii="Times New Roman" w:hAnsi="Times New Roman"/>
          <w:kern w:val="0"/>
          <w:szCs w:val="20"/>
          <w:lang w:val="de-DE"/>
        </w:rPr>
      </w:pPr>
      <w:r>
        <w:rPr>
          <w:rFonts w:ascii="Times New Roman" w:hAnsi="Times New Roman"/>
          <w:kern w:val="0"/>
          <w:szCs w:val="20"/>
        </w:rPr>
        <w:t>GB/T 25069-2022</w:t>
      </w:r>
      <w:r>
        <w:rPr>
          <w:rFonts w:hint="eastAsia" w:ascii="Times New Roman" w:hAnsi="Times New Roman"/>
          <w:kern w:val="0"/>
          <w:szCs w:val="20"/>
        </w:rPr>
        <w:t>、GB/T 43697-2024中</w:t>
      </w:r>
      <w:r>
        <w:rPr>
          <w:rFonts w:ascii="Times New Roman" w:hAnsi="Times New Roman"/>
          <w:kern w:val="0"/>
          <w:szCs w:val="20"/>
          <w:lang w:val="de-DE"/>
        </w:rPr>
        <w:t>界定的以及下列术语和定义适用于本文件。</w:t>
      </w:r>
    </w:p>
    <w:p w14:paraId="16699946">
      <w:pPr>
        <w:adjustRightInd/>
        <w:spacing w:before="156" w:beforeLines="50" w:after="156" w:afterLines="50" w:line="240" w:lineRule="auto"/>
        <w:ind w:left="420" w:hanging="420" w:hangingChars="200"/>
        <w:outlineLvl w:val="1"/>
        <w:rPr>
          <w:rFonts w:ascii="黑体" w:hAnsi="黑体" w:eastAsia="黑体"/>
          <w:kern w:val="0"/>
          <w:lang w:val="de-DE"/>
        </w:rPr>
      </w:pPr>
      <w:bookmarkStart w:id="88" w:name="_Toc198027220"/>
      <w:bookmarkStart w:id="89" w:name="_Toc32647"/>
      <w:bookmarkStart w:id="90" w:name="_Toc208244175"/>
      <w:bookmarkStart w:id="91" w:name="_Toc188346738"/>
      <w:bookmarkStart w:id="92" w:name="_Toc23285"/>
      <w:bookmarkStart w:id="93" w:name="_Toc198054282"/>
      <w:bookmarkStart w:id="94" w:name="_Toc14881"/>
      <w:bookmarkStart w:id="95" w:name="_Toc4442"/>
      <w:bookmarkStart w:id="96" w:name="_Toc13598"/>
      <w:bookmarkStart w:id="97" w:name="OLE_LINK1"/>
      <w:r>
        <w:rPr>
          <w:rFonts w:ascii="黑体" w:hAnsi="黑体" w:eastAsia="黑体"/>
          <w:kern w:val="0"/>
          <w:lang w:val="de-DE"/>
        </w:rPr>
        <w:t>3.1　</w:t>
      </w:r>
      <w:r>
        <w:rPr>
          <w:rFonts w:ascii="Times New Roman" w:hAnsi="Times New Roman"/>
          <w:kern w:val="0"/>
          <w:lang w:val="de-DE"/>
        </w:rPr>
        <w:br w:type="textWrapping"/>
      </w:r>
      <w:r>
        <w:rPr>
          <w:rFonts w:hint="eastAsia" w:ascii="黑体" w:hAnsi="黑体" w:eastAsia="黑体"/>
          <w:kern w:val="0"/>
          <w:lang w:val="de-DE"/>
        </w:rPr>
        <w:t>数据安全　data security</w:t>
      </w:r>
      <w:bookmarkEnd w:id="88"/>
      <w:bookmarkEnd w:id="89"/>
      <w:bookmarkEnd w:id="90"/>
      <w:bookmarkEnd w:id="91"/>
      <w:bookmarkEnd w:id="92"/>
      <w:bookmarkEnd w:id="93"/>
      <w:bookmarkEnd w:id="94"/>
      <w:bookmarkEnd w:id="95"/>
      <w:bookmarkEnd w:id="96"/>
    </w:p>
    <w:p w14:paraId="6C29DB55">
      <w:pPr>
        <w:adjustRightInd/>
        <w:spacing w:line="240" w:lineRule="auto"/>
        <w:ind w:firstLine="420" w:firstLineChars="200"/>
        <w:rPr>
          <w:rFonts w:ascii="Times New Roman" w:hAnsi="Times New Roman"/>
          <w:kern w:val="0"/>
          <w:szCs w:val="20"/>
          <w:lang w:val="de-DE"/>
        </w:rPr>
      </w:pPr>
      <w:r>
        <w:rPr>
          <w:rFonts w:ascii="Times New Roman" w:hAnsi="Times New Roman"/>
          <w:kern w:val="0"/>
          <w:szCs w:val="20"/>
          <w:lang w:val="de-DE"/>
        </w:rPr>
        <w:t>通过采取必要措施，确保数据处于有效保护和合法利用的状态，以及具备保障持续安全状态的能力。</w:t>
      </w:r>
    </w:p>
    <w:p w14:paraId="1CD041F8">
      <w:pPr>
        <w:adjustRightInd/>
        <w:spacing w:before="156" w:beforeLines="50" w:after="156" w:afterLines="50" w:line="240" w:lineRule="auto"/>
        <w:ind w:left="420" w:hanging="420" w:hangingChars="200"/>
        <w:outlineLvl w:val="1"/>
        <w:rPr>
          <w:rFonts w:ascii="黑体" w:hAnsi="黑体" w:eastAsia="黑体"/>
          <w:kern w:val="0"/>
          <w:lang w:val="de-DE"/>
        </w:rPr>
      </w:pPr>
      <w:bookmarkStart w:id="98" w:name="_Toc198027221"/>
      <w:bookmarkStart w:id="99" w:name="_Toc21809"/>
      <w:bookmarkStart w:id="100" w:name="_Toc208244176"/>
      <w:bookmarkStart w:id="101" w:name="_Toc22085"/>
      <w:bookmarkStart w:id="102" w:name="_Toc188346739"/>
      <w:bookmarkStart w:id="103" w:name="_Toc30423"/>
      <w:bookmarkStart w:id="104" w:name="_Toc198054283"/>
      <w:bookmarkStart w:id="105" w:name="_Toc13168"/>
      <w:bookmarkStart w:id="106" w:name="_Toc30924"/>
      <w:r>
        <w:rPr>
          <w:rFonts w:ascii="黑体" w:hAnsi="黑体" w:eastAsia="黑体"/>
          <w:kern w:val="0"/>
          <w:lang w:val="de-DE"/>
        </w:rPr>
        <w:t>3.2　</w:t>
      </w:r>
      <w:r>
        <w:rPr>
          <w:rFonts w:ascii="Times New Roman" w:hAnsi="Times New Roman"/>
          <w:kern w:val="0"/>
          <w:lang w:val="de-DE"/>
        </w:rPr>
        <w:br w:type="textWrapping"/>
      </w:r>
      <w:r>
        <w:rPr>
          <w:rFonts w:hint="eastAsia" w:ascii="黑体" w:hAnsi="黑体" w:eastAsia="黑体"/>
          <w:kern w:val="0"/>
          <w:lang w:val="de-DE"/>
        </w:rPr>
        <w:t>数据处理活动　data processing activities</w:t>
      </w:r>
      <w:bookmarkEnd w:id="98"/>
      <w:bookmarkEnd w:id="99"/>
      <w:bookmarkEnd w:id="100"/>
      <w:bookmarkEnd w:id="101"/>
      <w:bookmarkEnd w:id="102"/>
      <w:bookmarkEnd w:id="103"/>
      <w:bookmarkEnd w:id="104"/>
      <w:bookmarkEnd w:id="105"/>
      <w:bookmarkEnd w:id="106"/>
    </w:p>
    <w:p w14:paraId="7C7F84C2">
      <w:pPr>
        <w:adjustRightInd/>
        <w:spacing w:line="240" w:lineRule="auto"/>
        <w:ind w:firstLine="420" w:firstLineChars="200"/>
        <w:rPr>
          <w:rFonts w:ascii="Times New Roman" w:hAnsi="Times New Roman"/>
          <w:kern w:val="0"/>
          <w:szCs w:val="20"/>
          <w:lang w:val="de-DE"/>
        </w:rPr>
      </w:pPr>
      <w:r>
        <w:rPr>
          <w:rFonts w:ascii="Times New Roman" w:hAnsi="Times New Roman"/>
          <w:kern w:val="0"/>
          <w:szCs w:val="20"/>
          <w:lang w:val="de-DE"/>
        </w:rPr>
        <w:t>数据的收集、存储、使用、加工、传输、提供、公开等</w:t>
      </w:r>
      <w:r>
        <w:rPr>
          <w:rFonts w:ascii="Times New Roman" w:hAnsi="Times New Roman"/>
          <w:kern w:val="0"/>
          <w:szCs w:val="20"/>
        </w:rPr>
        <w:t>活动</w:t>
      </w:r>
      <w:r>
        <w:rPr>
          <w:rFonts w:ascii="Times New Roman" w:hAnsi="Times New Roman"/>
          <w:kern w:val="0"/>
          <w:szCs w:val="20"/>
          <w:lang w:val="de-DE"/>
        </w:rPr>
        <w:t>。</w:t>
      </w:r>
    </w:p>
    <w:p w14:paraId="4314F31F">
      <w:pPr>
        <w:adjustRightInd/>
        <w:spacing w:before="156" w:beforeLines="50" w:after="156" w:afterLines="50" w:line="240" w:lineRule="auto"/>
        <w:ind w:left="420" w:hanging="420" w:hangingChars="200"/>
        <w:outlineLvl w:val="1"/>
        <w:rPr>
          <w:rFonts w:ascii="黑体" w:hAnsi="黑体" w:eastAsia="黑体"/>
          <w:kern w:val="0"/>
          <w:lang w:val="de-DE"/>
        </w:rPr>
      </w:pPr>
      <w:bookmarkStart w:id="107" w:name="_Toc208244177"/>
      <w:bookmarkStart w:id="108" w:name="_Toc198054284"/>
      <w:bookmarkStart w:id="109" w:name="_Toc5057"/>
      <w:bookmarkStart w:id="110" w:name="_Toc188346740"/>
      <w:bookmarkStart w:id="111" w:name="_Toc2825"/>
      <w:bookmarkStart w:id="112" w:name="_Toc29198"/>
      <w:bookmarkStart w:id="113" w:name="_Toc28620"/>
      <w:bookmarkStart w:id="114" w:name="_Toc198027222"/>
      <w:bookmarkStart w:id="115" w:name="_Toc21026"/>
      <w:r>
        <w:rPr>
          <w:rFonts w:ascii="黑体" w:hAnsi="黑体" w:eastAsia="黑体"/>
          <w:kern w:val="0"/>
          <w:lang w:val="de-DE"/>
        </w:rPr>
        <w:t>3.3　</w:t>
      </w:r>
      <w:r>
        <w:rPr>
          <w:rFonts w:ascii="Times New Roman" w:hAnsi="Times New Roman"/>
          <w:kern w:val="0"/>
          <w:lang w:val="de-DE"/>
        </w:rPr>
        <w:br w:type="textWrapping"/>
      </w:r>
      <w:r>
        <w:rPr>
          <w:rFonts w:hint="eastAsia" w:ascii="黑体" w:hAnsi="黑体" w:eastAsia="黑体"/>
          <w:kern w:val="0"/>
          <w:lang w:val="de-DE"/>
        </w:rPr>
        <w:t>数据处理者　data processor</w:t>
      </w:r>
      <w:bookmarkEnd w:id="107"/>
      <w:bookmarkEnd w:id="108"/>
      <w:bookmarkEnd w:id="109"/>
      <w:bookmarkEnd w:id="110"/>
      <w:bookmarkEnd w:id="111"/>
      <w:bookmarkEnd w:id="112"/>
      <w:bookmarkEnd w:id="113"/>
      <w:bookmarkEnd w:id="114"/>
      <w:bookmarkEnd w:id="115"/>
    </w:p>
    <w:p w14:paraId="15BFD4CA">
      <w:pPr>
        <w:adjustRightInd/>
        <w:spacing w:line="240" w:lineRule="auto"/>
        <w:ind w:firstLine="420" w:firstLineChars="200"/>
        <w:rPr>
          <w:rFonts w:ascii="Times New Roman" w:hAnsi="Times New Roman"/>
          <w:kern w:val="0"/>
          <w:szCs w:val="20"/>
          <w:lang w:val="de-DE"/>
        </w:rPr>
      </w:pPr>
      <w:r>
        <w:rPr>
          <w:rFonts w:ascii="Times New Roman" w:hAnsi="Times New Roman"/>
          <w:kern w:val="0"/>
          <w:szCs w:val="20"/>
          <w:lang w:val="de-DE"/>
        </w:rPr>
        <w:t>在数据处理活动中自主决定处理目的和处理方式的个人</w:t>
      </w:r>
      <w:r>
        <w:rPr>
          <w:rFonts w:hint="eastAsia" w:ascii="Times New Roman" w:hAnsi="Times New Roman"/>
          <w:kern w:val="0"/>
          <w:szCs w:val="20"/>
          <w:lang w:val="de-DE"/>
        </w:rPr>
        <w:t>、</w:t>
      </w:r>
      <w:r>
        <w:rPr>
          <w:rFonts w:ascii="Times New Roman" w:hAnsi="Times New Roman"/>
          <w:kern w:val="0"/>
          <w:szCs w:val="20"/>
          <w:lang w:val="de-DE"/>
        </w:rPr>
        <w:t>组织。</w:t>
      </w:r>
    </w:p>
    <w:p w14:paraId="7B530BC4">
      <w:pPr>
        <w:pStyle w:val="14"/>
        <w:spacing w:after="0" w:line="240" w:lineRule="auto"/>
        <w:ind w:firstLine="360" w:firstLineChars="200"/>
        <w:rPr>
          <w:rFonts w:ascii="Times New Roman" w:hAnsi="Times New Roman"/>
          <w:sz w:val="18"/>
          <w:szCs w:val="18"/>
          <w:lang w:val="de-DE"/>
        </w:rPr>
      </w:pPr>
      <w:r>
        <w:rPr>
          <w:rFonts w:hint="eastAsia" w:ascii="Times New Roman" w:hAnsi="Times New Roman"/>
          <w:kern w:val="0"/>
          <w:sz w:val="18"/>
          <w:szCs w:val="18"/>
          <w:lang w:val="de-DE"/>
        </w:rPr>
        <w:t>[</w:t>
      </w:r>
      <w:r>
        <w:rPr>
          <w:rFonts w:hint="eastAsia" w:ascii="Times New Roman" w:hAnsi="Times New Roman"/>
          <w:kern w:val="0"/>
          <w:sz w:val="18"/>
          <w:szCs w:val="18"/>
        </w:rPr>
        <w:t>来源</w:t>
      </w:r>
      <w:r>
        <w:rPr>
          <w:rFonts w:hint="eastAsia" w:ascii="Times New Roman" w:hAnsi="Times New Roman"/>
          <w:kern w:val="0"/>
          <w:sz w:val="18"/>
          <w:szCs w:val="18"/>
          <w:lang w:val="de-DE"/>
        </w:rPr>
        <w:t>：</w:t>
      </w:r>
      <w:r>
        <w:rPr>
          <w:rFonts w:ascii="Times New Roman" w:hAnsi="Times New Roman"/>
          <w:kern w:val="0"/>
          <w:sz w:val="18"/>
          <w:szCs w:val="18"/>
          <w:lang w:val="de-DE"/>
        </w:rPr>
        <w:t>GB/T 43697</w:t>
      </w:r>
      <w:r>
        <w:rPr>
          <w:rFonts w:hint="eastAsia" w:ascii="Times New Roman" w:hAnsi="Times New Roman"/>
          <w:kern w:val="0"/>
          <w:sz w:val="18"/>
          <w:szCs w:val="18"/>
          <w:lang w:val="de-DE"/>
        </w:rPr>
        <w:t>—2024</w:t>
      </w:r>
      <w:r>
        <w:rPr>
          <w:rFonts w:hint="eastAsia" w:ascii="Times New Roman"/>
          <w:color w:val="000000"/>
          <w:sz w:val="18"/>
          <w:szCs w:val="18"/>
          <w:lang w:val="de-DE"/>
        </w:rPr>
        <w:t>，</w:t>
      </w:r>
      <w:r>
        <w:rPr>
          <w:rFonts w:ascii="Times New Roman" w:hAnsi="Times New Roman"/>
          <w:kern w:val="0"/>
          <w:sz w:val="18"/>
          <w:szCs w:val="18"/>
          <w:lang w:val="de-DE"/>
        </w:rPr>
        <w:t>3.</w:t>
      </w:r>
      <w:r>
        <w:rPr>
          <w:rFonts w:hint="eastAsia" w:ascii="Times New Roman" w:hAnsi="Times New Roman"/>
          <w:kern w:val="0"/>
          <w:sz w:val="18"/>
          <w:szCs w:val="18"/>
        </w:rPr>
        <w:t>11</w:t>
      </w:r>
      <w:r>
        <w:rPr>
          <w:rFonts w:hint="eastAsia" w:ascii="Times New Roman" w:hAnsi="Times New Roman"/>
          <w:kern w:val="0"/>
          <w:sz w:val="18"/>
          <w:szCs w:val="18"/>
          <w:lang w:val="de-DE"/>
        </w:rPr>
        <w:t>]</w:t>
      </w:r>
    </w:p>
    <w:p w14:paraId="3BF75BDC">
      <w:pPr>
        <w:adjustRightInd/>
        <w:spacing w:before="156" w:beforeLines="50" w:after="156" w:afterLines="50" w:line="240" w:lineRule="auto"/>
        <w:ind w:left="420" w:hanging="420" w:hangingChars="200"/>
        <w:rPr>
          <w:rFonts w:ascii="黑体" w:hAnsi="黑体" w:eastAsia="黑体"/>
          <w:kern w:val="0"/>
          <w:lang w:val="de-DE"/>
        </w:rPr>
      </w:pPr>
      <w:r>
        <w:rPr>
          <w:rFonts w:ascii="黑体" w:hAnsi="黑体" w:eastAsia="黑体"/>
          <w:kern w:val="0"/>
          <w:lang w:val="de-DE"/>
        </w:rPr>
        <w:t>3.</w:t>
      </w:r>
      <w:r>
        <w:rPr>
          <w:rFonts w:hint="eastAsia" w:ascii="黑体" w:hAnsi="黑体" w:eastAsia="黑体"/>
          <w:kern w:val="0"/>
        </w:rPr>
        <w:t>4</w:t>
      </w:r>
      <w:r>
        <w:rPr>
          <w:rFonts w:ascii="黑体" w:hAnsi="黑体" w:eastAsia="黑体"/>
          <w:kern w:val="0"/>
          <w:lang w:val="de-DE"/>
        </w:rPr>
        <w:t>　</w:t>
      </w:r>
      <w:r>
        <w:rPr>
          <w:rFonts w:ascii="黑体" w:hAnsi="黑体" w:eastAsia="黑体"/>
          <w:kern w:val="0"/>
          <w:lang w:val="de-DE"/>
        </w:rPr>
        <w:br w:type="textWrapping"/>
      </w:r>
      <w:r>
        <w:rPr>
          <w:rFonts w:hint="eastAsia" w:ascii="黑体" w:hAnsi="黑体" w:eastAsia="黑体"/>
          <w:kern w:val="0"/>
          <w:lang w:val="de-DE"/>
        </w:rPr>
        <w:t>重要数据　</w:t>
      </w:r>
      <w:r>
        <w:rPr>
          <w:rFonts w:ascii="黑体" w:hAnsi="黑体" w:eastAsia="黑体"/>
          <w:kern w:val="0"/>
        </w:rPr>
        <w:t>key</w:t>
      </w:r>
      <w:r>
        <w:rPr>
          <w:rFonts w:ascii="黑体" w:hAnsi="黑体" w:eastAsia="黑体"/>
          <w:kern w:val="0"/>
          <w:lang w:val="de-DE"/>
        </w:rPr>
        <w:t xml:space="preserve"> data</w:t>
      </w:r>
    </w:p>
    <w:p w14:paraId="1B8BD1ED">
      <w:pPr>
        <w:adjustRightInd/>
        <w:spacing w:line="240" w:lineRule="auto"/>
        <w:ind w:firstLine="420" w:firstLineChars="200"/>
        <w:rPr>
          <w:rFonts w:ascii="Times New Roman" w:hAnsi="Times New Roman"/>
          <w:kern w:val="0"/>
          <w:szCs w:val="20"/>
          <w:lang w:val="de-DE"/>
        </w:rPr>
      </w:pPr>
      <w:r>
        <w:rPr>
          <w:rFonts w:hint="eastAsia" w:ascii="Times New Roman" w:hAnsi="Times New Roman"/>
          <w:kern w:val="0"/>
          <w:szCs w:val="20"/>
          <w:lang w:val="de-DE"/>
        </w:rPr>
        <w:t>特定领域、特定群体、特定区域或达到一定精度和规模的，一旦被泄露或篡改、损毁，可能直接危害国家安全、经济运行、社会稳定、公共健康和安全的数据。</w:t>
      </w:r>
    </w:p>
    <w:p w14:paraId="5E01441E">
      <w:pPr>
        <w:adjustRightInd/>
        <w:spacing w:line="240" w:lineRule="auto"/>
        <w:ind w:left="780" w:leftChars="200" w:hanging="360" w:hangingChars="200"/>
        <w:rPr>
          <w:rFonts w:ascii="Times New Roman" w:hAnsi="Times New Roman"/>
          <w:kern w:val="0"/>
          <w:sz w:val="18"/>
          <w:szCs w:val="16"/>
          <w:lang w:val="de-DE"/>
        </w:rPr>
      </w:pPr>
      <w:r>
        <w:rPr>
          <w:rFonts w:hint="eastAsia" w:ascii="Times New Roman" w:hAnsi="Times New Roman" w:eastAsia="黑体"/>
          <w:kern w:val="0"/>
          <w:sz w:val="18"/>
          <w:szCs w:val="16"/>
          <w:lang w:val="de-DE"/>
        </w:rPr>
        <w:t>注：</w:t>
      </w:r>
      <w:r>
        <w:rPr>
          <w:rFonts w:hint="eastAsia" w:ascii="Times New Roman" w:hAnsi="Times New Roman"/>
          <w:kern w:val="0"/>
          <w:sz w:val="18"/>
          <w:szCs w:val="16"/>
          <w:lang w:val="de-DE"/>
        </w:rPr>
        <w:t>仅影响组织自身或公民个体的数据一般不作为重要数据。</w:t>
      </w:r>
    </w:p>
    <w:p w14:paraId="719F16A0">
      <w:pPr>
        <w:pStyle w:val="14"/>
        <w:spacing w:after="0" w:line="240" w:lineRule="auto"/>
        <w:ind w:firstLine="360" w:firstLineChars="200"/>
        <w:rPr>
          <w:rFonts w:ascii="Times New Roman" w:hAnsi="Times New Roman"/>
          <w:sz w:val="18"/>
          <w:szCs w:val="18"/>
          <w:lang w:val="de-DE"/>
        </w:rPr>
      </w:pPr>
      <w:r>
        <w:rPr>
          <w:rFonts w:hint="eastAsia" w:ascii="Times New Roman" w:hAnsi="Times New Roman"/>
          <w:kern w:val="0"/>
          <w:sz w:val="18"/>
          <w:szCs w:val="18"/>
          <w:lang w:val="de-DE"/>
        </w:rPr>
        <w:t>[</w:t>
      </w:r>
      <w:r>
        <w:rPr>
          <w:rFonts w:hint="eastAsia" w:ascii="Times New Roman" w:hAnsi="Times New Roman"/>
          <w:kern w:val="0"/>
          <w:sz w:val="18"/>
          <w:szCs w:val="18"/>
        </w:rPr>
        <w:t>来源</w:t>
      </w:r>
      <w:r>
        <w:rPr>
          <w:rFonts w:hint="eastAsia" w:ascii="Times New Roman" w:hAnsi="Times New Roman"/>
          <w:kern w:val="0"/>
          <w:sz w:val="18"/>
          <w:szCs w:val="18"/>
          <w:lang w:val="de-DE"/>
        </w:rPr>
        <w:t>：</w:t>
      </w:r>
      <w:r>
        <w:rPr>
          <w:rFonts w:ascii="Times New Roman" w:hAnsi="Times New Roman"/>
          <w:kern w:val="0"/>
          <w:sz w:val="18"/>
          <w:szCs w:val="18"/>
          <w:lang w:val="de-DE"/>
        </w:rPr>
        <w:t>GB/T 43697</w:t>
      </w:r>
      <w:r>
        <w:rPr>
          <w:rFonts w:hint="eastAsia" w:ascii="Times New Roman" w:hAnsi="Times New Roman"/>
          <w:kern w:val="0"/>
          <w:sz w:val="18"/>
          <w:szCs w:val="18"/>
          <w:lang w:val="de-DE"/>
        </w:rPr>
        <w:t>—2024</w:t>
      </w:r>
      <w:r>
        <w:rPr>
          <w:rFonts w:hint="eastAsia" w:ascii="Times New Roman"/>
          <w:color w:val="000000"/>
          <w:sz w:val="18"/>
          <w:szCs w:val="18"/>
          <w:lang w:val="de-DE"/>
        </w:rPr>
        <w:t>，</w:t>
      </w:r>
      <w:r>
        <w:rPr>
          <w:rFonts w:ascii="Times New Roman" w:hAnsi="Times New Roman"/>
          <w:kern w:val="0"/>
          <w:sz w:val="18"/>
          <w:szCs w:val="18"/>
          <w:lang w:val="de-DE"/>
        </w:rPr>
        <w:t>3.</w:t>
      </w:r>
      <w:r>
        <w:rPr>
          <w:rFonts w:hint="eastAsia" w:ascii="Times New Roman" w:hAnsi="Times New Roman"/>
          <w:kern w:val="0"/>
          <w:sz w:val="18"/>
          <w:szCs w:val="18"/>
        </w:rPr>
        <w:t>2</w:t>
      </w:r>
      <w:r>
        <w:rPr>
          <w:rFonts w:hint="eastAsia" w:ascii="Times New Roman" w:hAnsi="Times New Roman"/>
          <w:kern w:val="0"/>
          <w:sz w:val="18"/>
          <w:szCs w:val="18"/>
          <w:lang w:val="de-DE"/>
        </w:rPr>
        <w:t>]</w:t>
      </w:r>
    </w:p>
    <w:p w14:paraId="7F33EF42">
      <w:pPr>
        <w:adjustRightInd/>
        <w:spacing w:before="156" w:beforeLines="50" w:after="156" w:afterLines="50" w:line="240" w:lineRule="auto"/>
        <w:ind w:left="420" w:hanging="420" w:hangingChars="200"/>
        <w:rPr>
          <w:rFonts w:ascii="黑体" w:hAnsi="黑体" w:eastAsia="黑体"/>
          <w:kern w:val="0"/>
          <w:lang w:val="de-DE"/>
        </w:rPr>
      </w:pPr>
      <w:r>
        <w:rPr>
          <w:rFonts w:ascii="黑体" w:hAnsi="黑体" w:eastAsia="黑体"/>
          <w:kern w:val="0"/>
          <w:lang w:val="de-DE"/>
        </w:rPr>
        <w:t>3.</w:t>
      </w:r>
      <w:r>
        <w:rPr>
          <w:rFonts w:hint="eastAsia" w:ascii="黑体" w:hAnsi="黑体" w:eastAsia="黑体"/>
          <w:kern w:val="0"/>
        </w:rPr>
        <w:t>5</w:t>
      </w:r>
      <w:r>
        <w:rPr>
          <w:rFonts w:hint="eastAsia" w:ascii="黑体" w:hAnsi="黑体" w:eastAsia="黑体"/>
          <w:kern w:val="0"/>
          <w:lang w:val="de-DE"/>
        </w:rPr>
        <w:t>　</w:t>
      </w:r>
      <w:r>
        <w:rPr>
          <w:rFonts w:ascii="黑体" w:hAnsi="黑体" w:eastAsia="黑体"/>
          <w:kern w:val="0"/>
          <w:lang w:val="de-DE"/>
        </w:rPr>
        <w:br w:type="textWrapping"/>
      </w:r>
      <w:r>
        <w:rPr>
          <w:rFonts w:hint="eastAsia" w:ascii="黑体" w:hAnsi="黑体" w:eastAsia="黑体"/>
          <w:kern w:val="0"/>
          <w:lang w:val="de-DE"/>
        </w:rPr>
        <w:t>核心数据　</w:t>
      </w:r>
      <w:r>
        <w:rPr>
          <w:rFonts w:ascii="黑体" w:hAnsi="黑体" w:eastAsia="黑体"/>
          <w:kern w:val="0"/>
        </w:rPr>
        <w:t>core</w:t>
      </w:r>
      <w:r>
        <w:rPr>
          <w:rFonts w:ascii="黑体" w:hAnsi="黑体" w:eastAsia="黑体"/>
          <w:kern w:val="0"/>
          <w:lang w:val="de-DE"/>
        </w:rPr>
        <w:t xml:space="preserve"> data</w:t>
      </w:r>
    </w:p>
    <w:p w14:paraId="066EAFFD">
      <w:pPr>
        <w:adjustRightInd/>
        <w:spacing w:line="240" w:lineRule="auto"/>
        <w:ind w:firstLine="420" w:firstLineChars="200"/>
        <w:rPr>
          <w:rFonts w:ascii="Times New Roman" w:hAnsi="Times New Roman"/>
          <w:kern w:val="0"/>
          <w:szCs w:val="20"/>
          <w:lang w:val="de-DE"/>
        </w:rPr>
      </w:pPr>
      <w:r>
        <w:rPr>
          <w:rFonts w:hint="eastAsia" w:ascii="Times New Roman" w:hAnsi="Times New Roman"/>
          <w:kern w:val="0"/>
          <w:szCs w:val="20"/>
          <w:lang w:val="de-DE"/>
        </w:rPr>
        <w:t>对领域、群体、区域具有较高覆盖度或达到较高精度、较大规模、一定深度的，一旦被非法使用或共享，可能直接影响政治安全的重要数据。</w:t>
      </w:r>
    </w:p>
    <w:p w14:paraId="5F623DDF">
      <w:pPr>
        <w:adjustRightInd/>
        <w:spacing w:line="240" w:lineRule="auto"/>
        <w:ind w:left="780" w:leftChars="200" w:hanging="360" w:hangingChars="200"/>
        <w:rPr>
          <w:rFonts w:ascii="Times New Roman" w:hAnsi="Times New Roman"/>
          <w:kern w:val="0"/>
          <w:sz w:val="18"/>
          <w:szCs w:val="16"/>
          <w:lang w:val="de-DE"/>
        </w:rPr>
      </w:pPr>
      <w:r>
        <w:rPr>
          <w:rFonts w:hint="eastAsia" w:ascii="Times New Roman" w:hAnsi="Times New Roman" w:eastAsia="黑体"/>
          <w:kern w:val="0"/>
          <w:sz w:val="18"/>
          <w:szCs w:val="16"/>
          <w:lang w:val="de-DE"/>
        </w:rPr>
        <w:t>注：</w:t>
      </w:r>
      <w:r>
        <w:rPr>
          <w:rFonts w:hint="eastAsia" w:ascii="Times New Roman" w:hAnsi="Times New Roman"/>
          <w:kern w:val="0"/>
          <w:sz w:val="18"/>
          <w:szCs w:val="16"/>
          <w:lang w:val="de-DE"/>
        </w:rPr>
        <w:t>核心数据主要包括关系国家安全重点领域的数据，关系国民经济命脉、重要民生、重大公共利益的数据，经国家有关部门评估确定的其他数据。</w:t>
      </w:r>
    </w:p>
    <w:p w14:paraId="56EC805B">
      <w:pPr>
        <w:pStyle w:val="14"/>
        <w:spacing w:after="0" w:line="240" w:lineRule="auto"/>
        <w:ind w:firstLine="360" w:firstLineChars="200"/>
        <w:rPr>
          <w:rFonts w:ascii="Times New Roman" w:hAnsi="Times New Roman"/>
          <w:sz w:val="18"/>
          <w:szCs w:val="18"/>
          <w:lang w:val="de-DE"/>
        </w:rPr>
      </w:pPr>
      <w:r>
        <w:rPr>
          <w:rFonts w:hint="eastAsia" w:ascii="Times New Roman" w:hAnsi="Times New Roman"/>
          <w:kern w:val="0"/>
          <w:sz w:val="18"/>
          <w:szCs w:val="18"/>
          <w:lang w:val="de-DE"/>
        </w:rPr>
        <w:t>[</w:t>
      </w:r>
      <w:r>
        <w:rPr>
          <w:rFonts w:hint="eastAsia" w:ascii="Times New Roman" w:hAnsi="Times New Roman"/>
          <w:kern w:val="0"/>
          <w:sz w:val="18"/>
          <w:szCs w:val="18"/>
        </w:rPr>
        <w:t>来源</w:t>
      </w:r>
      <w:r>
        <w:rPr>
          <w:rFonts w:hint="eastAsia" w:ascii="Times New Roman" w:hAnsi="Times New Roman"/>
          <w:kern w:val="0"/>
          <w:sz w:val="18"/>
          <w:szCs w:val="18"/>
          <w:lang w:val="de-DE"/>
        </w:rPr>
        <w:t>：</w:t>
      </w:r>
      <w:r>
        <w:rPr>
          <w:rFonts w:ascii="Times New Roman" w:hAnsi="Times New Roman"/>
          <w:kern w:val="0"/>
          <w:sz w:val="18"/>
          <w:szCs w:val="18"/>
          <w:lang w:val="de-DE"/>
        </w:rPr>
        <w:t>GB/T 43697</w:t>
      </w:r>
      <w:r>
        <w:rPr>
          <w:rFonts w:hint="eastAsia" w:ascii="Times New Roman" w:hAnsi="Times New Roman"/>
          <w:kern w:val="0"/>
          <w:sz w:val="18"/>
          <w:szCs w:val="18"/>
          <w:lang w:val="de-DE"/>
        </w:rPr>
        <w:t>—2024</w:t>
      </w:r>
      <w:r>
        <w:rPr>
          <w:rFonts w:hint="eastAsia" w:ascii="Times New Roman"/>
          <w:color w:val="000000"/>
          <w:sz w:val="18"/>
          <w:szCs w:val="18"/>
          <w:lang w:val="de-DE"/>
        </w:rPr>
        <w:t>，</w:t>
      </w:r>
      <w:r>
        <w:rPr>
          <w:rFonts w:ascii="Times New Roman" w:hAnsi="Times New Roman"/>
          <w:kern w:val="0"/>
          <w:sz w:val="18"/>
          <w:szCs w:val="18"/>
          <w:lang w:val="de-DE"/>
        </w:rPr>
        <w:t>3.</w:t>
      </w:r>
      <w:r>
        <w:rPr>
          <w:rFonts w:hint="eastAsia" w:ascii="Times New Roman" w:hAnsi="Times New Roman"/>
          <w:kern w:val="0"/>
          <w:sz w:val="18"/>
          <w:szCs w:val="18"/>
          <w:lang w:val="de-DE"/>
        </w:rPr>
        <w:t>3]</w:t>
      </w:r>
    </w:p>
    <w:p w14:paraId="4A0515EC">
      <w:pPr>
        <w:adjustRightInd/>
        <w:spacing w:before="156" w:beforeLines="50" w:after="156" w:afterLines="50" w:line="240" w:lineRule="auto"/>
        <w:ind w:left="420" w:hanging="420" w:hangingChars="200"/>
        <w:rPr>
          <w:rFonts w:ascii="黑体" w:hAnsi="黑体" w:eastAsia="黑体"/>
          <w:kern w:val="0"/>
          <w:lang w:val="de-DE"/>
        </w:rPr>
      </w:pPr>
      <w:r>
        <w:rPr>
          <w:rFonts w:ascii="黑体" w:hAnsi="黑体" w:eastAsia="黑体"/>
          <w:kern w:val="0"/>
          <w:lang w:val="de-DE"/>
        </w:rPr>
        <w:t>3.</w:t>
      </w:r>
      <w:r>
        <w:rPr>
          <w:rFonts w:hint="eastAsia" w:ascii="黑体" w:hAnsi="黑体" w:eastAsia="黑体"/>
          <w:kern w:val="0"/>
          <w:lang w:val="de-DE"/>
        </w:rPr>
        <w:t>6</w:t>
      </w:r>
      <w:r>
        <w:rPr>
          <w:rFonts w:ascii="黑体" w:hAnsi="黑体" w:eastAsia="黑体"/>
          <w:kern w:val="0"/>
          <w:lang w:val="de-DE"/>
        </w:rPr>
        <w:t>　</w:t>
      </w:r>
      <w:r>
        <w:rPr>
          <w:rFonts w:ascii="黑体" w:hAnsi="黑体" w:eastAsia="黑体"/>
          <w:kern w:val="0"/>
          <w:lang w:val="de-DE"/>
        </w:rPr>
        <w:br w:type="textWrapping"/>
      </w:r>
      <w:r>
        <w:rPr>
          <w:rFonts w:hint="eastAsia" w:ascii="黑体" w:hAnsi="黑体" w:eastAsia="黑体"/>
          <w:kern w:val="0"/>
          <w:lang w:val="de-DE"/>
        </w:rPr>
        <w:t>一般数据　</w:t>
      </w:r>
      <w:r>
        <w:rPr>
          <w:rFonts w:ascii="黑体" w:hAnsi="黑体" w:eastAsia="黑体"/>
          <w:kern w:val="0"/>
          <w:lang w:val="de-DE"/>
        </w:rPr>
        <w:t>general data</w:t>
      </w:r>
    </w:p>
    <w:p w14:paraId="4026EA08">
      <w:pPr>
        <w:adjustRightInd/>
        <w:spacing w:line="240" w:lineRule="auto"/>
        <w:ind w:firstLine="420" w:firstLineChars="200"/>
        <w:rPr>
          <w:rFonts w:ascii="Times New Roman" w:hAnsi="Times New Roman"/>
          <w:kern w:val="0"/>
          <w:szCs w:val="20"/>
          <w:lang w:val="de-DE"/>
        </w:rPr>
      </w:pPr>
      <w:r>
        <w:rPr>
          <w:rFonts w:hint="eastAsia" w:ascii="Times New Roman" w:hAnsi="Times New Roman"/>
          <w:kern w:val="0"/>
          <w:szCs w:val="20"/>
          <w:lang w:val="de-DE"/>
        </w:rPr>
        <w:t>核心数据、重要数据之外的其他数据。</w:t>
      </w:r>
    </w:p>
    <w:p w14:paraId="2FED12F1">
      <w:pPr>
        <w:pStyle w:val="14"/>
        <w:spacing w:after="0" w:line="240" w:lineRule="auto"/>
        <w:ind w:firstLine="360" w:firstLineChars="200"/>
        <w:rPr>
          <w:rFonts w:ascii="Times New Roman" w:hAnsi="Times New Roman"/>
          <w:sz w:val="18"/>
          <w:szCs w:val="18"/>
          <w:lang w:val="de-DE"/>
        </w:rPr>
      </w:pPr>
      <w:r>
        <w:rPr>
          <w:rFonts w:hint="eastAsia" w:ascii="Times New Roman" w:hAnsi="Times New Roman"/>
          <w:kern w:val="0"/>
          <w:sz w:val="18"/>
          <w:szCs w:val="18"/>
          <w:lang w:val="de-DE"/>
        </w:rPr>
        <w:t>[</w:t>
      </w:r>
      <w:r>
        <w:rPr>
          <w:rFonts w:hint="eastAsia" w:ascii="Times New Roman" w:hAnsi="Times New Roman"/>
          <w:kern w:val="0"/>
          <w:sz w:val="18"/>
          <w:szCs w:val="18"/>
        </w:rPr>
        <w:t>来源</w:t>
      </w:r>
      <w:r>
        <w:rPr>
          <w:rFonts w:hint="eastAsia" w:ascii="Times New Roman" w:hAnsi="Times New Roman"/>
          <w:kern w:val="0"/>
          <w:sz w:val="18"/>
          <w:szCs w:val="18"/>
          <w:lang w:val="de-DE"/>
        </w:rPr>
        <w:t>：</w:t>
      </w:r>
      <w:r>
        <w:rPr>
          <w:rFonts w:ascii="Times New Roman" w:hAnsi="Times New Roman"/>
          <w:kern w:val="0"/>
          <w:sz w:val="18"/>
          <w:szCs w:val="18"/>
          <w:lang w:val="de-DE"/>
        </w:rPr>
        <w:t>GB/T 43697</w:t>
      </w:r>
      <w:r>
        <w:rPr>
          <w:rFonts w:hint="eastAsia" w:ascii="Times New Roman" w:hAnsi="Times New Roman"/>
          <w:kern w:val="0"/>
          <w:sz w:val="18"/>
          <w:szCs w:val="18"/>
          <w:lang w:val="de-DE"/>
        </w:rPr>
        <w:t>—2024</w:t>
      </w:r>
      <w:r>
        <w:rPr>
          <w:rFonts w:hint="eastAsia" w:ascii="Times New Roman"/>
          <w:color w:val="000000"/>
          <w:sz w:val="18"/>
          <w:szCs w:val="18"/>
          <w:lang w:val="de-DE"/>
        </w:rPr>
        <w:t>，</w:t>
      </w:r>
      <w:r>
        <w:rPr>
          <w:rFonts w:ascii="Times New Roman" w:hAnsi="Times New Roman"/>
          <w:kern w:val="0"/>
          <w:sz w:val="18"/>
          <w:szCs w:val="18"/>
          <w:lang w:val="de-DE"/>
        </w:rPr>
        <w:t>3.</w:t>
      </w:r>
      <w:r>
        <w:rPr>
          <w:rFonts w:hint="eastAsia" w:ascii="Times New Roman" w:hAnsi="Times New Roman"/>
          <w:kern w:val="0"/>
          <w:sz w:val="18"/>
          <w:szCs w:val="18"/>
          <w:lang w:val="de-DE"/>
        </w:rPr>
        <w:t>4]</w:t>
      </w:r>
    </w:p>
    <w:p w14:paraId="34FC7FD1">
      <w:pPr>
        <w:adjustRightInd/>
        <w:spacing w:before="156" w:beforeLines="50" w:after="156" w:afterLines="50" w:line="240" w:lineRule="auto"/>
        <w:ind w:left="420" w:hanging="420" w:hangingChars="200"/>
        <w:outlineLvl w:val="1"/>
        <w:rPr>
          <w:rFonts w:ascii="黑体" w:hAnsi="黑体" w:eastAsia="黑体"/>
          <w:kern w:val="0"/>
          <w:lang w:val="de-DE"/>
        </w:rPr>
      </w:pPr>
      <w:bookmarkStart w:id="116" w:name="_Toc198054285"/>
      <w:bookmarkStart w:id="117" w:name="_Toc198027223"/>
      <w:bookmarkStart w:id="118" w:name="_Toc208244178"/>
      <w:bookmarkStart w:id="119" w:name="_Toc188346741"/>
      <w:bookmarkStart w:id="120" w:name="_Toc27499"/>
      <w:r>
        <w:rPr>
          <w:rFonts w:ascii="黑体" w:hAnsi="黑体" w:eastAsia="黑体"/>
          <w:kern w:val="0"/>
          <w:lang w:val="de-DE"/>
        </w:rPr>
        <w:t>3.</w:t>
      </w:r>
      <w:r>
        <w:rPr>
          <w:rFonts w:hint="eastAsia" w:ascii="黑体" w:hAnsi="黑体" w:eastAsia="黑体"/>
          <w:kern w:val="0"/>
          <w:lang w:val="de-DE"/>
        </w:rPr>
        <w:t>4</w:t>
      </w:r>
      <w:r>
        <w:rPr>
          <w:rFonts w:ascii="黑体" w:hAnsi="黑体" w:eastAsia="黑体"/>
          <w:kern w:val="0"/>
          <w:lang w:val="de-DE"/>
        </w:rPr>
        <w:t>　</w:t>
      </w:r>
      <w:r>
        <w:rPr>
          <w:rFonts w:ascii="Times New Roman" w:hAnsi="Times New Roman"/>
          <w:kern w:val="0"/>
          <w:lang w:val="de-DE"/>
        </w:rPr>
        <w:br w:type="textWrapping"/>
      </w:r>
      <w:r>
        <w:rPr>
          <w:rFonts w:hint="eastAsia" w:ascii="黑体" w:hAnsi="黑体" w:eastAsia="黑体"/>
          <w:kern w:val="0"/>
          <w:lang w:val="de-DE"/>
        </w:rPr>
        <w:t>数据收集　data collection</w:t>
      </w:r>
      <w:bookmarkEnd w:id="116"/>
      <w:bookmarkEnd w:id="117"/>
      <w:bookmarkEnd w:id="118"/>
      <w:bookmarkEnd w:id="119"/>
      <w:bookmarkEnd w:id="120"/>
    </w:p>
    <w:p w14:paraId="55C04DB7">
      <w:pPr>
        <w:adjustRightInd/>
        <w:spacing w:line="240" w:lineRule="auto"/>
        <w:ind w:firstLine="420" w:firstLineChars="200"/>
        <w:rPr>
          <w:rFonts w:ascii="Times New Roman" w:hAnsi="Times New Roman"/>
          <w:kern w:val="0"/>
          <w:szCs w:val="20"/>
          <w:lang w:val="de-DE"/>
        </w:rPr>
      </w:pPr>
      <w:r>
        <w:rPr>
          <w:rFonts w:hint="eastAsia" w:ascii="Times New Roman" w:hAnsi="Times New Roman"/>
          <w:color w:val="000000" w:themeColor="text1"/>
          <w14:textFill>
            <w14:solidFill>
              <w14:schemeClr w14:val="tx1"/>
            </w14:solidFill>
          </w14:textFill>
        </w:rPr>
        <w:t>从一种或多种来源获取数据</w:t>
      </w:r>
      <w:r>
        <w:rPr>
          <w:rFonts w:hint="eastAsia" w:ascii="Times New Roman" w:hAnsi="Times New Roman"/>
          <w:color w:val="000000" w:themeColor="text1"/>
          <w:lang w:val="de-DE"/>
          <w14:textFill>
            <w14:solidFill>
              <w14:schemeClr w14:val="tx1"/>
            </w14:solidFill>
          </w14:textFill>
        </w:rPr>
        <w:t>，</w:t>
      </w:r>
      <w:r>
        <w:rPr>
          <w:rFonts w:hint="eastAsia" w:ascii="Times New Roman" w:hAnsi="Times New Roman"/>
          <w:color w:val="000000" w:themeColor="text1"/>
          <w14:textFill>
            <w14:solidFill>
              <w14:schemeClr w14:val="tx1"/>
            </w14:solidFill>
          </w14:textFill>
        </w:rPr>
        <w:t>或者新产生数据的过程或活动。</w:t>
      </w:r>
    </w:p>
    <w:p w14:paraId="4D7248AF">
      <w:pPr>
        <w:adjustRightInd/>
        <w:spacing w:line="240" w:lineRule="auto"/>
        <w:ind w:left="780" w:leftChars="200" w:hanging="360" w:hangingChars="200"/>
        <w:rPr>
          <w:rFonts w:ascii="Times New Roman" w:hAnsi="Times New Roman"/>
          <w:kern w:val="0"/>
          <w:sz w:val="18"/>
          <w:szCs w:val="16"/>
        </w:rPr>
      </w:pPr>
      <w:r>
        <w:rPr>
          <w:rFonts w:hint="eastAsia" w:ascii="Times New Roman" w:hAnsi="Times New Roman" w:eastAsia="黑体"/>
          <w:kern w:val="0"/>
          <w:sz w:val="18"/>
          <w:szCs w:val="16"/>
          <w:lang w:val="de-DE"/>
        </w:rPr>
        <w:t>注：</w:t>
      </w:r>
      <w:r>
        <w:rPr>
          <w:rFonts w:hint="eastAsia" w:ascii="Times New Roman" w:hAnsi="Times New Roman"/>
          <w:kern w:val="0"/>
          <w:sz w:val="18"/>
          <w:szCs w:val="16"/>
        </w:rPr>
        <w:t>数据收集方式，包括但不限于用户主动提供、系统自动记录、物联网设备收集、公开数据爬取、业务产生数据、数据共享交换、第三方数据采购、数据汇集/汇交/归集等。</w:t>
      </w:r>
    </w:p>
    <w:p w14:paraId="345B4E4C">
      <w:pPr>
        <w:adjustRightInd/>
        <w:spacing w:before="156" w:beforeLines="50" w:after="156" w:afterLines="50" w:line="240" w:lineRule="auto"/>
        <w:ind w:left="420" w:hanging="420" w:hangingChars="200"/>
        <w:outlineLvl w:val="1"/>
        <w:rPr>
          <w:rFonts w:ascii="黑体" w:hAnsi="黑体" w:eastAsia="黑体"/>
          <w:kern w:val="0"/>
          <w:lang w:val="de-DE"/>
        </w:rPr>
      </w:pPr>
      <w:bookmarkStart w:id="121" w:name="_Toc198027224"/>
      <w:bookmarkStart w:id="122" w:name="_Toc198054286"/>
      <w:bookmarkStart w:id="123" w:name="_Toc188346742"/>
      <w:bookmarkStart w:id="124" w:name="_Toc208244179"/>
      <w:bookmarkStart w:id="125" w:name="_Toc14435"/>
      <w:r>
        <w:rPr>
          <w:rFonts w:ascii="黑体" w:hAnsi="黑体" w:eastAsia="黑体"/>
          <w:kern w:val="0"/>
          <w:lang w:val="de-DE"/>
        </w:rPr>
        <w:t>3.</w:t>
      </w:r>
      <w:r>
        <w:rPr>
          <w:rFonts w:hint="eastAsia" w:ascii="黑体" w:hAnsi="黑体" w:eastAsia="黑体"/>
          <w:kern w:val="0"/>
        </w:rPr>
        <w:t>5</w:t>
      </w:r>
      <w:r>
        <w:rPr>
          <w:rFonts w:ascii="黑体" w:hAnsi="黑体" w:eastAsia="黑体"/>
          <w:kern w:val="0"/>
          <w:lang w:val="de-DE"/>
        </w:rPr>
        <w:t>　</w:t>
      </w:r>
      <w:r>
        <w:rPr>
          <w:rFonts w:ascii="Times New Roman" w:hAnsi="Times New Roman"/>
          <w:kern w:val="0"/>
          <w:lang w:val="de-DE"/>
        </w:rPr>
        <w:br w:type="textWrapping"/>
      </w:r>
      <w:r>
        <w:rPr>
          <w:rFonts w:hint="eastAsia" w:ascii="黑体" w:hAnsi="黑体" w:eastAsia="黑体"/>
          <w:kern w:val="0"/>
          <w:lang w:val="de-DE"/>
        </w:rPr>
        <w:t>数据存储　data storage</w:t>
      </w:r>
      <w:bookmarkEnd w:id="121"/>
      <w:bookmarkEnd w:id="122"/>
      <w:bookmarkEnd w:id="123"/>
      <w:bookmarkEnd w:id="124"/>
      <w:bookmarkEnd w:id="125"/>
    </w:p>
    <w:p w14:paraId="2DD78297">
      <w:pPr>
        <w:adjustRightInd/>
        <w:spacing w:line="240" w:lineRule="auto"/>
        <w:ind w:firstLine="420" w:firstLineChars="200"/>
        <w:rPr>
          <w:rFonts w:ascii="Times New Roman" w:hAnsi="Times New Roman"/>
          <w:kern w:val="0"/>
          <w:szCs w:val="20"/>
          <w:lang w:val="de-DE"/>
        </w:rPr>
      </w:pPr>
      <w:r>
        <w:rPr>
          <w:rStyle w:val="297"/>
          <w:rFonts w:hint="eastAsia" w:ascii="Times New Roman" w:hAnsi="Times New Roman"/>
          <w:color w:val="000000"/>
        </w:rPr>
        <w:t>将数据以任何格式保存在物理或虚拟的存储环境中的过程或活动。</w:t>
      </w:r>
    </w:p>
    <w:p w14:paraId="3FB9B18C">
      <w:pPr>
        <w:adjustRightInd/>
        <w:spacing w:line="240" w:lineRule="auto"/>
        <w:ind w:left="780" w:leftChars="200" w:hanging="360" w:hangingChars="200"/>
        <w:rPr>
          <w:rFonts w:ascii="Times New Roman" w:hAnsi="Times New Roman"/>
          <w:kern w:val="0"/>
          <w:sz w:val="18"/>
          <w:szCs w:val="16"/>
        </w:rPr>
      </w:pPr>
      <w:r>
        <w:rPr>
          <w:rFonts w:hint="eastAsia" w:ascii="Times New Roman" w:hAnsi="Times New Roman" w:eastAsia="黑体"/>
          <w:kern w:val="0"/>
          <w:sz w:val="18"/>
          <w:szCs w:val="16"/>
          <w:lang w:val="de-DE"/>
        </w:rPr>
        <w:t>注：</w:t>
      </w:r>
      <w:r>
        <w:rPr>
          <w:rFonts w:hint="eastAsia" w:ascii="Times New Roman" w:hAnsi="Times New Roman"/>
          <w:kern w:val="0"/>
          <w:sz w:val="18"/>
          <w:szCs w:val="16"/>
        </w:rPr>
        <w:t>数据存储环境，包括但不限于硬盘、光盘、U盘、固态硬盘、存储卡、磁带、闪存等存储介质，及数据库、云存储、大数据平台、网盘、分布式文件系统（DFS）、内容分发网络（CDN）等存储系统。</w:t>
      </w:r>
    </w:p>
    <w:p w14:paraId="51DD27C4">
      <w:pPr>
        <w:adjustRightInd/>
        <w:spacing w:before="156" w:beforeLines="50" w:after="156" w:afterLines="50" w:line="240" w:lineRule="auto"/>
        <w:ind w:left="420" w:hanging="420" w:hangingChars="200"/>
        <w:outlineLvl w:val="1"/>
        <w:rPr>
          <w:rFonts w:ascii="黑体" w:hAnsi="黑体" w:eastAsia="黑体"/>
          <w:kern w:val="0"/>
          <w:lang w:val="de-DE"/>
        </w:rPr>
      </w:pPr>
      <w:bookmarkStart w:id="126" w:name="_Toc188346743"/>
      <w:bookmarkStart w:id="127" w:name="_Toc198027225"/>
      <w:bookmarkStart w:id="128" w:name="_Toc198054287"/>
      <w:bookmarkStart w:id="129" w:name="_Toc208244180"/>
      <w:bookmarkStart w:id="130" w:name="_Toc11512"/>
      <w:r>
        <w:rPr>
          <w:rFonts w:ascii="黑体" w:hAnsi="黑体" w:eastAsia="黑体"/>
          <w:kern w:val="0"/>
          <w:lang w:val="de-DE"/>
        </w:rPr>
        <w:t>3.</w:t>
      </w:r>
      <w:r>
        <w:rPr>
          <w:rFonts w:hint="eastAsia" w:ascii="黑体" w:hAnsi="黑体" w:eastAsia="黑体"/>
          <w:kern w:val="0"/>
        </w:rPr>
        <w:t>6</w:t>
      </w:r>
      <w:r>
        <w:rPr>
          <w:rFonts w:ascii="黑体" w:hAnsi="黑体" w:eastAsia="黑体"/>
          <w:kern w:val="0"/>
          <w:lang w:val="de-DE"/>
        </w:rPr>
        <w:t>　</w:t>
      </w:r>
      <w:r>
        <w:rPr>
          <w:rFonts w:ascii="Times New Roman" w:hAnsi="Times New Roman"/>
          <w:kern w:val="0"/>
          <w:lang w:val="de-DE"/>
        </w:rPr>
        <w:br w:type="textWrapping"/>
      </w:r>
      <w:r>
        <w:rPr>
          <w:rFonts w:hint="eastAsia" w:ascii="黑体" w:hAnsi="黑体" w:eastAsia="黑体"/>
          <w:kern w:val="0"/>
          <w:lang w:val="de-DE"/>
        </w:rPr>
        <w:t>数据传输　data transmission</w:t>
      </w:r>
      <w:bookmarkEnd w:id="126"/>
      <w:bookmarkEnd w:id="127"/>
      <w:bookmarkEnd w:id="128"/>
      <w:bookmarkEnd w:id="129"/>
      <w:bookmarkEnd w:id="130"/>
    </w:p>
    <w:p w14:paraId="2C4B773A">
      <w:pPr>
        <w:adjustRightInd/>
        <w:spacing w:line="240" w:lineRule="auto"/>
        <w:ind w:firstLine="420" w:firstLineChars="200"/>
        <w:rPr>
          <w:rFonts w:ascii="Times New Roman" w:hAnsi="Times New Roman"/>
          <w:kern w:val="0"/>
          <w:szCs w:val="20"/>
        </w:rPr>
      </w:pPr>
      <w:r>
        <w:rPr>
          <w:rStyle w:val="297"/>
          <w:rFonts w:hint="eastAsia" w:ascii="Times New Roman" w:hAnsi="Times New Roman"/>
          <w:color w:val="000000"/>
        </w:rPr>
        <w:t>通过网络、通信设备或链路在不同节点间传递数据的过程或活动。</w:t>
      </w:r>
    </w:p>
    <w:p w14:paraId="6629AA8F">
      <w:pPr>
        <w:adjustRightInd/>
        <w:spacing w:line="240" w:lineRule="auto"/>
        <w:ind w:left="780" w:leftChars="200" w:hanging="360" w:hangingChars="200"/>
        <w:rPr>
          <w:rFonts w:ascii="Times New Roman" w:hAnsi="Times New Roman"/>
          <w:kern w:val="0"/>
          <w:sz w:val="18"/>
          <w:szCs w:val="16"/>
        </w:rPr>
      </w:pPr>
      <w:r>
        <w:rPr>
          <w:rFonts w:hint="eastAsia" w:ascii="Times New Roman" w:hAnsi="Times New Roman" w:eastAsia="黑体"/>
          <w:kern w:val="0"/>
          <w:sz w:val="18"/>
          <w:szCs w:val="16"/>
          <w:lang w:val="de-DE"/>
        </w:rPr>
        <w:t>注：</w:t>
      </w:r>
      <w:r>
        <w:rPr>
          <w:rFonts w:hint="eastAsia" w:ascii="Times New Roman" w:hAnsi="Times New Roman"/>
          <w:kern w:val="0"/>
          <w:sz w:val="18"/>
          <w:szCs w:val="16"/>
        </w:rPr>
        <w:t>节点可以是信息系统、计算机、网络设备、应用程序、移动终端、传感器、网络等。</w:t>
      </w:r>
    </w:p>
    <w:p w14:paraId="67811C85">
      <w:pPr>
        <w:adjustRightInd/>
        <w:spacing w:before="156" w:beforeLines="50" w:after="156" w:afterLines="50" w:line="240" w:lineRule="auto"/>
        <w:ind w:left="420" w:hanging="420" w:hangingChars="200"/>
        <w:outlineLvl w:val="1"/>
        <w:rPr>
          <w:rFonts w:ascii="黑体" w:hAnsi="黑体" w:eastAsia="黑体"/>
          <w:kern w:val="0"/>
          <w:lang w:val="de-DE"/>
        </w:rPr>
      </w:pPr>
      <w:bookmarkStart w:id="131" w:name="_Toc198027226"/>
      <w:bookmarkStart w:id="132" w:name="_Toc198054288"/>
      <w:bookmarkStart w:id="133" w:name="_Toc208244181"/>
      <w:bookmarkStart w:id="134" w:name="_Toc188346744"/>
      <w:bookmarkStart w:id="135" w:name="_Toc2800"/>
      <w:r>
        <w:rPr>
          <w:rFonts w:ascii="黑体" w:hAnsi="黑体" w:eastAsia="黑体"/>
          <w:kern w:val="0"/>
          <w:lang w:val="de-DE"/>
        </w:rPr>
        <w:t>3.</w:t>
      </w:r>
      <w:r>
        <w:rPr>
          <w:rFonts w:hint="eastAsia" w:ascii="黑体" w:hAnsi="黑体" w:eastAsia="黑体"/>
          <w:kern w:val="0"/>
        </w:rPr>
        <w:t>7</w:t>
      </w:r>
      <w:r>
        <w:rPr>
          <w:rFonts w:ascii="黑体" w:hAnsi="黑体" w:eastAsia="黑体"/>
          <w:kern w:val="0"/>
          <w:lang w:val="de-DE"/>
        </w:rPr>
        <w:t>　</w:t>
      </w:r>
      <w:r>
        <w:rPr>
          <w:rFonts w:ascii="Times New Roman" w:hAnsi="Times New Roman"/>
          <w:kern w:val="0"/>
          <w:lang w:val="de-DE"/>
        </w:rPr>
        <w:br w:type="textWrapping"/>
      </w:r>
      <w:r>
        <w:rPr>
          <w:rFonts w:hint="eastAsia" w:ascii="黑体" w:hAnsi="黑体" w:eastAsia="黑体"/>
          <w:kern w:val="0"/>
          <w:lang w:val="de-DE"/>
        </w:rPr>
        <w:t>数据使用　data use</w:t>
      </w:r>
      <w:bookmarkEnd w:id="131"/>
      <w:bookmarkEnd w:id="132"/>
      <w:bookmarkEnd w:id="133"/>
      <w:bookmarkEnd w:id="134"/>
      <w:bookmarkEnd w:id="135"/>
    </w:p>
    <w:p w14:paraId="5F2FFBB9">
      <w:pPr>
        <w:adjustRightInd/>
        <w:spacing w:line="240" w:lineRule="auto"/>
        <w:ind w:firstLine="420" w:firstLineChars="200"/>
        <w:rPr>
          <w:rFonts w:ascii="Times New Roman" w:hAnsi="Times New Roman"/>
          <w:kern w:val="0"/>
          <w:szCs w:val="20"/>
        </w:rPr>
      </w:pPr>
      <w:r>
        <w:rPr>
          <w:rStyle w:val="297"/>
          <w:rFonts w:hint="eastAsia" w:ascii="Times New Roman" w:hAnsi="Times New Roman"/>
          <w:color w:val="000000"/>
        </w:rPr>
        <w:t>对数据进行操作和应用，以实现特定使用目的的过程或活动。</w:t>
      </w:r>
    </w:p>
    <w:p w14:paraId="4ED8C724">
      <w:pPr>
        <w:adjustRightInd/>
        <w:spacing w:line="240" w:lineRule="auto"/>
        <w:ind w:left="780" w:leftChars="200" w:hanging="360" w:hangingChars="200"/>
        <w:rPr>
          <w:rFonts w:ascii="Times New Roman" w:hAnsi="Times New Roman"/>
          <w:kern w:val="0"/>
          <w:sz w:val="18"/>
          <w:szCs w:val="16"/>
        </w:rPr>
      </w:pPr>
      <w:r>
        <w:rPr>
          <w:rFonts w:hint="eastAsia" w:ascii="Times New Roman" w:hAnsi="Times New Roman" w:eastAsia="黑体"/>
          <w:kern w:val="0"/>
          <w:sz w:val="18"/>
          <w:szCs w:val="16"/>
          <w:lang w:val="de-DE"/>
        </w:rPr>
        <w:t>注：</w:t>
      </w:r>
      <w:r>
        <w:rPr>
          <w:rFonts w:hint="eastAsia" w:ascii="Times New Roman" w:hAnsi="Times New Roman"/>
          <w:kern w:val="0"/>
          <w:sz w:val="18"/>
          <w:szCs w:val="16"/>
        </w:rPr>
        <w:t>数据使用目的，包括但不限于业务服务、生成报表、决策支持、数据分析、查询验证、可视化展示、运营管理、改进优化、安全合规等。</w:t>
      </w:r>
    </w:p>
    <w:p w14:paraId="6D5C8F3C">
      <w:pPr>
        <w:adjustRightInd/>
        <w:spacing w:before="156" w:beforeLines="50" w:after="156" w:afterLines="50" w:line="240" w:lineRule="auto"/>
        <w:ind w:left="420" w:hanging="420" w:hangingChars="200"/>
        <w:outlineLvl w:val="1"/>
        <w:rPr>
          <w:rFonts w:ascii="黑体" w:hAnsi="黑体" w:eastAsia="黑体"/>
          <w:kern w:val="0"/>
          <w:lang w:val="de-DE"/>
        </w:rPr>
      </w:pPr>
      <w:bookmarkStart w:id="136" w:name="_Toc188346745"/>
      <w:bookmarkStart w:id="137" w:name="_Toc198027227"/>
      <w:bookmarkStart w:id="138" w:name="_Toc198054289"/>
      <w:bookmarkStart w:id="139" w:name="_Toc208244182"/>
      <w:bookmarkStart w:id="140" w:name="_Toc4948"/>
      <w:r>
        <w:rPr>
          <w:rFonts w:ascii="黑体" w:hAnsi="黑体" w:eastAsia="黑体"/>
          <w:kern w:val="0"/>
          <w:lang w:val="de-DE"/>
        </w:rPr>
        <w:t>3.</w:t>
      </w:r>
      <w:r>
        <w:rPr>
          <w:rFonts w:hint="eastAsia" w:ascii="黑体" w:hAnsi="黑体" w:eastAsia="黑体"/>
          <w:kern w:val="0"/>
        </w:rPr>
        <w:t>8</w:t>
      </w:r>
      <w:r>
        <w:rPr>
          <w:rFonts w:ascii="黑体" w:hAnsi="黑体" w:eastAsia="黑体"/>
          <w:kern w:val="0"/>
          <w:lang w:val="de-DE"/>
        </w:rPr>
        <w:t>　</w:t>
      </w:r>
      <w:r>
        <w:rPr>
          <w:rFonts w:ascii="Times New Roman" w:hAnsi="Times New Roman"/>
          <w:kern w:val="0"/>
          <w:lang w:val="de-DE"/>
        </w:rPr>
        <w:br w:type="textWrapping"/>
      </w:r>
      <w:r>
        <w:rPr>
          <w:rFonts w:hint="eastAsia" w:ascii="黑体" w:hAnsi="黑体" w:eastAsia="黑体"/>
          <w:kern w:val="0"/>
          <w:lang w:val="de-DE"/>
        </w:rPr>
        <w:t>数据加工　data processing</w:t>
      </w:r>
      <w:bookmarkEnd w:id="136"/>
      <w:bookmarkEnd w:id="137"/>
      <w:bookmarkEnd w:id="138"/>
      <w:bookmarkEnd w:id="139"/>
      <w:bookmarkEnd w:id="140"/>
    </w:p>
    <w:p w14:paraId="12EFE4DD">
      <w:pPr>
        <w:adjustRightInd/>
        <w:spacing w:line="240" w:lineRule="auto"/>
        <w:ind w:firstLine="420" w:firstLineChars="200"/>
        <w:rPr>
          <w:rStyle w:val="297"/>
          <w:rFonts w:ascii="Times New Roman" w:hAnsi="Times New Roman"/>
          <w:color w:val="000000"/>
        </w:rPr>
      </w:pPr>
      <w:r>
        <w:rPr>
          <w:rStyle w:val="297"/>
          <w:rFonts w:hint="eastAsia" w:ascii="Times New Roman" w:hAnsi="Times New Roman"/>
          <w:color w:val="000000"/>
        </w:rPr>
        <w:t>对数据进行清洗、转换、聚合、计算、分析等处理操作，使其更适合于特定的用途、分析目的或提取有用信息的过程或活动。</w:t>
      </w:r>
    </w:p>
    <w:p w14:paraId="182BB3B3">
      <w:pPr>
        <w:adjustRightInd/>
        <w:spacing w:line="240" w:lineRule="auto"/>
        <w:ind w:left="780" w:leftChars="200" w:hanging="360" w:hangingChars="200"/>
        <w:rPr>
          <w:rFonts w:ascii="Times New Roman" w:hAnsi="Times New Roman"/>
          <w:kern w:val="0"/>
          <w:sz w:val="18"/>
          <w:szCs w:val="16"/>
        </w:rPr>
      </w:pPr>
      <w:r>
        <w:rPr>
          <w:rFonts w:hint="eastAsia" w:ascii="Times New Roman" w:hAnsi="Times New Roman" w:eastAsia="黑体"/>
          <w:kern w:val="0"/>
          <w:sz w:val="18"/>
          <w:szCs w:val="16"/>
          <w:lang w:val="de-DE"/>
        </w:rPr>
        <w:t>注：</w:t>
      </w:r>
      <w:r>
        <w:rPr>
          <w:rFonts w:hint="eastAsia" w:ascii="Times New Roman" w:hAnsi="Times New Roman"/>
          <w:kern w:val="0"/>
          <w:sz w:val="18"/>
          <w:szCs w:val="16"/>
        </w:rPr>
        <w:t>数据加工，包括但不限于数据清洗、转换、整合、标注、建模、分析、挖掘等操作。原始数据经过数据加工后，会产生新的衍生数据。</w:t>
      </w:r>
    </w:p>
    <w:p w14:paraId="5F99A375">
      <w:pPr>
        <w:adjustRightInd/>
        <w:spacing w:before="156" w:beforeLines="50" w:after="156" w:afterLines="50" w:line="240" w:lineRule="auto"/>
        <w:ind w:left="420" w:hanging="420" w:hangingChars="200"/>
        <w:outlineLvl w:val="1"/>
        <w:rPr>
          <w:rFonts w:ascii="黑体" w:hAnsi="黑体" w:eastAsia="黑体"/>
          <w:kern w:val="0"/>
          <w:lang w:val="de-DE"/>
        </w:rPr>
      </w:pPr>
      <w:bookmarkStart w:id="141" w:name="_Toc198054290"/>
      <w:bookmarkStart w:id="142" w:name="_Toc198027228"/>
      <w:bookmarkStart w:id="143" w:name="_Toc188346746"/>
      <w:bookmarkStart w:id="144" w:name="_Toc208244183"/>
      <w:bookmarkStart w:id="145" w:name="_Toc21234"/>
      <w:r>
        <w:rPr>
          <w:rFonts w:ascii="黑体" w:hAnsi="黑体" w:eastAsia="黑体"/>
          <w:kern w:val="0"/>
          <w:lang w:val="de-DE"/>
        </w:rPr>
        <w:t>3.</w:t>
      </w:r>
      <w:r>
        <w:rPr>
          <w:rFonts w:hint="eastAsia" w:ascii="黑体" w:hAnsi="黑体" w:eastAsia="黑体"/>
          <w:kern w:val="0"/>
        </w:rPr>
        <w:t>9</w:t>
      </w:r>
      <w:r>
        <w:rPr>
          <w:rFonts w:ascii="黑体" w:hAnsi="黑体" w:eastAsia="黑体"/>
          <w:kern w:val="0"/>
          <w:lang w:val="de-DE"/>
        </w:rPr>
        <w:t>　</w:t>
      </w:r>
      <w:r>
        <w:rPr>
          <w:rFonts w:ascii="Times New Roman" w:hAnsi="Times New Roman"/>
          <w:kern w:val="0"/>
          <w:lang w:val="de-DE"/>
        </w:rPr>
        <w:br w:type="textWrapping"/>
      </w:r>
      <w:r>
        <w:rPr>
          <w:rFonts w:hint="eastAsia" w:ascii="黑体" w:hAnsi="黑体" w:eastAsia="黑体"/>
          <w:kern w:val="0"/>
          <w:lang w:val="de-DE"/>
        </w:rPr>
        <w:t>数据提供　data providing</w:t>
      </w:r>
      <w:bookmarkEnd w:id="141"/>
      <w:bookmarkEnd w:id="142"/>
      <w:bookmarkEnd w:id="143"/>
      <w:bookmarkEnd w:id="144"/>
      <w:bookmarkEnd w:id="145"/>
    </w:p>
    <w:p w14:paraId="242099A5">
      <w:pPr>
        <w:adjustRightInd/>
        <w:spacing w:line="240" w:lineRule="auto"/>
        <w:ind w:firstLine="420" w:firstLineChars="200"/>
        <w:rPr>
          <w:rStyle w:val="297"/>
          <w:rFonts w:ascii="Times New Roman" w:hAnsi="Times New Roman"/>
          <w:color w:val="000000"/>
        </w:rPr>
      </w:pPr>
      <w:r>
        <w:rPr>
          <w:rStyle w:val="297"/>
          <w:rFonts w:hint="eastAsia" w:ascii="Times New Roman" w:hAnsi="Times New Roman"/>
          <w:color w:val="000000"/>
        </w:rPr>
        <w:t>将持有的数据传递给其他组织或个人的过程或活动。</w:t>
      </w:r>
    </w:p>
    <w:p w14:paraId="11B31620">
      <w:pPr>
        <w:adjustRightInd/>
        <w:spacing w:line="240" w:lineRule="auto"/>
        <w:ind w:left="915" w:leftChars="200" w:hanging="495" w:hangingChars="275"/>
        <w:rPr>
          <w:sz w:val="18"/>
          <w:szCs w:val="18"/>
        </w:rPr>
      </w:pPr>
      <w:r>
        <w:rPr>
          <w:rFonts w:ascii="黑体" w:hAnsi="黑体" w:eastAsia="黑体"/>
          <w:sz w:val="18"/>
          <w:lang w:val="de-DE"/>
        </w:rPr>
        <w:t>注</w:t>
      </w:r>
      <w:r>
        <w:rPr>
          <w:rFonts w:hint="eastAsia" w:ascii="黑体" w:hAnsi="黑体" w:eastAsia="黑体"/>
          <w:sz w:val="18"/>
          <w:lang w:val="de-DE"/>
        </w:rPr>
        <w:t>：</w:t>
      </w:r>
      <w:r>
        <w:rPr>
          <w:rFonts w:hint="eastAsia"/>
          <w:sz w:val="18"/>
          <w:szCs w:val="18"/>
        </w:rPr>
        <w:t>数据提供通常发生在不同法人实体之间，不包括组织内部不同部门（非法人实体）间的数据共享。</w:t>
      </w:r>
    </w:p>
    <w:p w14:paraId="1E649288">
      <w:pPr>
        <w:adjustRightInd/>
        <w:spacing w:before="156" w:beforeLines="50" w:after="156" w:afterLines="50" w:line="240" w:lineRule="auto"/>
        <w:ind w:left="420" w:hanging="420" w:hangingChars="200"/>
        <w:outlineLvl w:val="1"/>
        <w:rPr>
          <w:rFonts w:ascii="黑体" w:hAnsi="黑体" w:eastAsia="黑体"/>
          <w:kern w:val="0"/>
          <w:lang w:val="de-DE"/>
        </w:rPr>
      </w:pPr>
      <w:bookmarkStart w:id="146" w:name="_Toc198054291"/>
      <w:bookmarkStart w:id="147" w:name="_Toc208244184"/>
      <w:bookmarkStart w:id="148" w:name="_Toc198027229"/>
      <w:bookmarkStart w:id="149" w:name="_Toc188346747"/>
      <w:bookmarkStart w:id="150" w:name="_Toc2725"/>
      <w:r>
        <w:rPr>
          <w:rFonts w:ascii="黑体" w:hAnsi="黑体" w:eastAsia="黑体"/>
          <w:kern w:val="0"/>
          <w:lang w:val="de-DE"/>
        </w:rPr>
        <w:t>3.</w:t>
      </w:r>
      <w:r>
        <w:rPr>
          <w:rFonts w:hint="eastAsia" w:ascii="黑体" w:hAnsi="黑体" w:eastAsia="黑体"/>
          <w:kern w:val="0"/>
        </w:rPr>
        <w:t>10</w:t>
      </w:r>
      <w:r>
        <w:rPr>
          <w:rFonts w:ascii="黑体" w:hAnsi="黑体" w:eastAsia="黑体"/>
          <w:kern w:val="0"/>
          <w:lang w:val="de-DE"/>
        </w:rPr>
        <w:t>　</w:t>
      </w:r>
      <w:r>
        <w:rPr>
          <w:rFonts w:ascii="Times New Roman" w:hAnsi="Times New Roman"/>
          <w:kern w:val="0"/>
          <w:lang w:val="de-DE"/>
        </w:rPr>
        <w:br w:type="textWrapping"/>
      </w:r>
      <w:r>
        <w:rPr>
          <w:rFonts w:hint="eastAsia" w:ascii="黑体" w:hAnsi="黑体" w:eastAsia="黑体"/>
          <w:kern w:val="0"/>
          <w:lang w:val="de-DE"/>
        </w:rPr>
        <w:t>数据公开　data disclosure</w:t>
      </w:r>
      <w:bookmarkEnd w:id="146"/>
      <w:bookmarkEnd w:id="147"/>
      <w:bookmarkEnd w:id="148"/>
      <w:bookmarkEnd w:id="149"/>
      <w:bookmarkEnd w:id="150"/>
    </w:p>
    <w:p w14:paraId="13563B22">
      <w:pPr>
        <w:adjustRightInd/>
        <w:spacing w:line="240" w:lineRule="auto"/>
        <w:ind w:firstLine="420" w:firstLineChars="200"/>
        <w:rPr>
          <w:rStyle w:val="297"/>
          <w:rFonts w:ascii="Times New Roman" w:hAnsi="Times New Roman"/>
          <w:color w:val="000000"/>
        </w:rPr>
      </w:pPr>
      <w:r>
        <w:rPr>
          <w:rStyle w:val="297"/>
          <w:rFonts w:hint="eastAsia" w:ascii="Times New Roman" w:hAnsi="Times New Roman"/>
          <w:color w:val="000000"/>
        </w:rPr>
        <w:t>也称数据开放，是指向社会公众或特定的公众群体发布数据的过程或活动。</w:t>
      </w:r>
    </w:p>
    <w:p w14:paraId="6E274504">
      <w:pPr>
        <w:adjustRightInd/>
        <w:spacing w:line="240" w:lineRule="auto"/>
        <w:ind w:left="796" w:leftChars="200" w:hanging="376" w:hangingChars="209"/>
        <w:rPr>
          <w:sz w:val="18"/>
          <w:szCs w:val="18"/>
        </w:rPr>
      </w:pPr>
      <w:r>
        <w:rPr>
          <w:rFonts w:ascii="黑体" w:hAnsi="黑体" w:eastAsia="黑体"/>
          <w:sz w:val="18"/>
          <w:lang w:val="de-DE"/>
        </w:rPr>
        <w:t>注</w:t>
      </w:r>
      <w:r>
        <w:rPr>
          <w:rFonts w:hint="eastAsia" w:ascii="黑体" w:hAnsi="黑体" w:eastAsia="黑体"/>
          <w:sz w:val="18"/>
          <w:lang w:val="de-DE"/>
        </w:rPr>
        <w:t>：</w:t>
      </w:r>
      <w:r>
        <w:rPr>
          <w:rFonts w:hint="eastAsia"/>
          <w:sz w:val="18"/>
          <w:szCs w:val="18"/>
        </w:rPr>
        <w:t>公开数据指可被公众自由访问、获取和使用的数据，通常是那些不需要用户登录或者其他形式的身份验证就能直接查看的数据。</w:t>
      </w:r>
    </w:p>
    <w:p w14:paraId="738F9719">
      <w:pPr>
        <w:adjustRightInd/>
        <w:spacing w:before="156" w:beforeLines="50" w:after="156" w:afterLines="50" w:line="240" w:lineRule="auto"/>
        <w:ind w:left="420" w:hanging="420" w:hangingChars="200"/>
        <w:outlineLvl w:val="1"/>
        <w:rPr>
          <w:rFonts w:ascii="黑体" w:hAnsi="黑体" w:eastAsia="黑体"/>
          <w:kern w:val="0"/>
          <w:lang w:val="de-DE"/>
        </w:rPr>
      </w:pPr>
      <w:bookmarkStart w:id="151" w:name="_Toc198027230"/>
      <w:bookmarkStart w:id="152" w:name="_Toc188346748"/>
      <w:bookmarkStart w:id="153" w:name="_Toc208244185"/>
      <w:bookmarkStart w:id="154" w:name="_Toc198054292"/>
      <w:bookmarkStart w:id="155" w:name="_Toc15636"/>
      <w:r>
        <w:rPr>
          <w:rFonts w:ascii="黑体" w:hAnsi="黑体" w:eastAsia="黑体"/>
          <w:kern w:val="0"/>
          <w:lang w:val="de-DE"/>
        </w:rPr>
        <w:t>3.</w:t>
      </w:r>
      <w:r>
        <w:rPr>
          <w:rFonts w:hint="eastAsia" w:ascii="黑体" w:hAnsi="黑体" w:eastAsia="黑体"/>
          <w:kern w:val="0"/>
        </w:rPr>
        <w:t>11</w:t>
      </w:r>
      <w:r>
        <w:rPr>
          <w:rFonts w:ascii="黑体" w:hAnsi="黑体" w:eastAsia="黑体"/>
          <w:kern w:val="0"/>
          <w:lang w:val="de-DE"/>
        </w:rPr>
        <w:t>　</w:t>
      </w:r>
      <w:r>
        <w:rPr>
          <w:rFonts w:ascii="Times New Roman" w:hAnsi="Times New Roman"/>
          <w:kern w:val="0"/>
          <w:lang w:val="de-DE"/>
        </w:rPr>
        <w:br w:type="textWrapping"/>
      </w:r>
      <w:r>
        <w:rPr>
          <w:rFonts w:hint="eastAsia" w:ascii="黑体" w:hAnsi="黑体" w:eastAsia="黑体"/>
          <w:kern w:val="0"/>
          <w:lang w:val="de-DE"/>
        </w:rPr>
        <w:t xml:space="preserve">数据删除　data </w:t>
      </w:r>
      <w:bookmarkEnd w:id="151"/>
      <w:bookmarkEnd w:id="152"/>
      <w:r>
        <w:rPr>
          <w:rFonts w:hint="eastAsia" w:ascii="黑体" w:hAnsi="黑体" w:eastAsia="黑体"/>
          <w:kern w:val="0"/>
          <w:lang w:val="de-DE"/>
        </w:rPr>
        <w:t>deletion</w:t>
      </w:r>
      <w:bookmarkEnd w:id="153"/>
      <w:bookmarkEnd w:id="154"/>
      <w:bookmarkEnd w:id="155"/>
    </w:p>
    <w:p w14:paraId="66A4829B">
      <w:pPr>
        <w:adjustRightInd/>
        <w:spacing w:line="240" w:lineRule="auto"/>
        <w:ind w:firstLine="420" w:firstLineChars="200"/>
        <w:rPr>
          <w:rStyle w:val="297"/>
          <w:rFonts w:ascii="Times New Roman" w:hAnsi="Times New Roman"/>
          <w:color w:val="000000"/>
        </w:rPr>
      </w:pPr>
      <w:r>
        <w:rPr>
          <w:rStyle w:val="297"/>
          <w:rFonts w:hint="eastAsia" w:ascii="Times New Roman" w:hAnsi="Times New Roman"/>
          <w:color w:val="000000"/>
        </w:rPr>
        <w:t>也称信息清除，是指对存储空间或介质中的数据进行技术处理，使数据不可被读取、访问或恢复的活动或过程。</w:t>
      </w:r>
    </w:p>
    <w:bookmarkEnd w:id="97"/>
    <w:p w14:paraId="50335D22">
      <w:pPr>
        <w:pStyle w:val="110"/>
        <w:spacing w:before="312" w:after="312"/>
        <w:rPr>
          <w:rFonts w:ascii="Times New Roman"/>
        </w:rPr>
      </w:pPr>
      <w:bookmarkStart w:id="156" w:name="_Toc208244115"/>
      <w:bookmarkEnd w:id="156"/>
      <w:bookmarkStart w:id="157" w:name="_Toc208244114"/>
      <w:bookmarkEnd w:id="157"/>
      <w:bookmarkStart w:id="158" w:name="_Toc184589198"/>
      <w:bookmarkEnd w:id="158"/>
      <w:bookmarkStart w:id="159" w:name="_Toc208244188"/>
      <w:bookmarkEnd w:id="159"/>
      <w:bookmarkStart w:id="160" w:name="_Toc208244186"/>
      <w:bookmarkEnd w:id="160"/>
      <w:bookmarkStart w:id="161" w:name="_Toc208244187"/>
      <w:bookmarkEnd w:id="161"/>
      <w:bookmarkStart w:id="162" w:name="_Toc208244116"/>
      <w:bookmarkEnd w:id="162"/>
      <w:bookmarkStart w:id="163" w:name="_Toc149911378"/>
      <w:bookmarkStart w:id="164" w:name="_Toc136442134"/>
      <w:bookmarkStart w:id="165" w:name="_Toc8608"/>
      <w:bookmarkStart w:id="166" w:name="_Toc16080"/>
      <w:bookmarkStart w:id="167" w:name="_Toc3931"/>
      <w:bookmarkStart w:id="168" w:name="_Toc591_WPSOffice_Level1"/>
      <w:bookmarkStart w:id="169" w:name="_Toc66194811"/>
      <w:bookmarkStart w:id="170" w:name="_Toc66777500"/>
      <w:r>
        <w:rPr>
          <w:rFonts w:ascii="Times New Roman"/>
        </w:rPr>
        <w:t>总则</w:t>
      </w:r>
      <w:bookmarkEnd w:id="163"/>
      <w:bookmarkEnd w:id="164"/>
      <w:bookmarkEnd w:id="165"/>
    </w:p>
    <w:p w14:paraId="5D88BF9C">
      <w:pPr>
        <w:widowControl/>
        <w:adjustRightInd/>
        <w:spacing w:before="156" w:beforeLines="50" w:after="156" w:afterLines="50" w:line="240" w:lineRule="auto"/>
        <w:jc w:val="left"/>
        <w:outlineLvl w:val="1"/>
        <w:rPr>
          <w:rFonts w:ascii="Times New Roman" w:hAnsi="Times New Roman" w:eastAsia="黑体"/>
          <w:kern w:val="0"/>
        </w:rPr>
      </w:pPr>
      <w:bookmarkStart w:id="171" w:name="_Toc10016"/>
      <w:bookmarkStart w:id="172" w:name="_Toc149911380"/>
      <w:bookmarkStart w:id="173" w:name="_Hlk68267887"/>
      <w:bookmarkStart w:id="174" w:name="_Hlk148698579"/>
      <w:r>
        <w:rPr>
          <w:rFonts w:ascii="Times New Roman" w:hAnsi="Times New Roman" w:eastAsia="黑体"/>
          <w:kern w:val="0"/>
        </w:rPr>
        <w:t>4.</w:t>
      </w:r>
      <w:r>
        <w:rPr>
          <w:rFonts w:hint="eastAsia" w:ascii="Times New Roman" w:hAnsi="Times New Roman" w:eastAsia="黑体"/>
          <w:kern w:val="0"/>
        </w:rPr>
        <w:t>1 数据安全</w:t>
      </w:r>
      <w:r>
        <w:rPr>
          <w:rFonts w:ascii="Times New Roman" w:hAnsi="Times New Roman" w:eastAsia="黑体"/>
          <w:kern w:val="0"/>
        </w:rPr>
        <w:t>保护目标</w:t>
      </w:r>
      <w:bookmarkEnd w:id="171"/>
    </w:p>
    <w:p w14:paraId="622BB0D7">
      <w:pPr>
        <w:widowControl/>
        <w:tabs>
          <w:tab w:val="center" w:pos="4201"/>
          <w:tab w:val="right" w:leader="dot" w:pos="9298"/>
        </w:tabs>
        <w:autoSpaceDE w:val="0"/>
        <w:autoSpaceDN w:val="0"/>
        <w:adjustRightInd/>
        <w:spacing w:line="240" w:lineRule="auto"/>
        <w:ind w:firstLine="420" w:firstLineChars="200"/>
        <w:rPr>
          <w:rFonts w:ascii="Times New Roman" w:hAnsi="Times New Roman"/>
        </w:rPr>
      </w:pPr>
      <w:r>
        <w:rPr>
          <w:rFonts w:hint="eastAsia" w:ascii="Times New Roman" w:hAnsi="Times New Roman"/>
        </w:rPr>
        <w:t>数据安全保护以数据和数据处理活动为保护对象，重点实现以下目标：</w:t>
      </w:r>
    </w:p>
    <w:p w14:paraId="412C1AE5">
      <w:pPr>
        <w:numPr>
          <w:ilvl w:val="0"/>
          <w:numId w:val="36"/>
        </w:numPr>
        <w:adjustRightInd/>
        <w:spacing w:line="240" w:lineRule="auto"/>
        <w:ind w:left="845"/>
        <w:rPr>
          <w:rFonts w:ascii="Times New Roman" w:hAnsi="Times New Roman"/>
          <w:snapToGrid w:val="0"/>
        </w:rPr>
      </w:pPr>
      <w:r>
        <w:rPr>
          <w:rFonts w:ascii="Times New Roman" w:hAnsi="Times New Roman"/>
          <w:snapToGrid w:val="0"/>
        </w:rPr>
        <w:t>有效保护：</w:t>
      </w:r>
      <w:r>
        <w:rPr>
          <w:rFonts w:hint="eastAsia" w:ascii="Times New Roman" w:hAnsi="Times New Roman"/>
          <w:snapToGrid w:val="0"/>
        </w:rPr>
        <w:t>采取必要措施保障数据和全流程数据处理活动的保密性、完整性、可用性，确保数据处于有效保护状态，防范数据泄露、篡改、破坏、丢失、伪造、滥用等安全风险；</w:t>
      </w:r>
    </w:p>
    <w:p w14:paraId="5410A785">
      <w:pPr>
        <w:numPr>
          <w:ilvl w:val="0"/>
          <w:numId w:val="36"/>
        </w:numPr>
        <w:adjustRightInd/>
        <w:spacing w:line="240" w:lineRule="auto"/>
        <w:ind w:left="845"/>
        <w:rPr>
          <w:rFonts w:ascii="Times New Roman" w:hAnsi="Times New Roman"/>
          <w:snapToGrid w:val="0"/>
        </w:rPr>
      </w:pPr>
      <w:r>
        <w:rPr>
          <w:rFonts w:ascii="Times New Roman" w:hAnsi="Times New Roman"/>
          <w:snapToGrid w:val="0"/>
        </w:rPr>
        <w:t>合法利用：</w:t>
      </w:r>
      <w:r>
        <w:rPr>
          <w:rFonts w:hint="eastAsia" w:ascii="Times New Roman" w:hAnsi="Times New Roman"/>
          <w:snapToGrid w:val="0"/>
        </w:rPr>
        <w:t>数据处理遵守法律、行政法规等有关规定要求，尊重社会公德和伦理道德，不危害国家安全、公共利益，不损害个人、组织的合法权益，不利用数据从事非法活动；</w:t>
      </w:r>
    </w:p>
    <w:p w14:paraId="1DF77B7A">
      <w:pPr>
        <w:numPr>
          <w:ilvl w:val="0"/>
          <w:numId w:val="36"/>
        </w:numPr>
        <w:adjustRightInd/>
        <w:spacing w:line="240" w:lineRule="auto"/>
        <w:ind w:left="845"/>
        <w:rPr>
          <w:rFonts w:ascii="Times New Roman" w:hAnsi="Times New Roman"/>
        </w:rPr>
      </w:pPr>
      <w:r>
        <w:rPr>
          <w:rFonts w:ascii="Times New Roman" w:hAnsi="Times New Roman"/>
          <w:snapToGrid w:val="0"/>
        </w:rPr>
        <w:t>持续安全：</w:t>
      </w:r>
      <w:r>
        <w:rPr>
          <w:rFonts w:hint="eastAsia" w:ascii="Times New Roman" w:hAnsi="Times New Roman"/>
          <w:snapToGrid w:val="0"/>
        </w:rPr>
        <w:t>建立数据安全动态运营手段，确保数据处理可控性和不可否认性，具备保障持续数据安全状态的能力。</w:t>
      </w:r>
    </w:p>
    <w:p w14:paraId="3A48A8D9">
      <w:pPr>
        <w:widowControl/>
        <w:adjustRightInd/>
        <w:spacing w:before="156" w:beforeLines="50" w:after="156" w:afterLines="50" w:line="240" w:lineRule="auto"/>
        <w:jc w:val="left"/>
        <w:outlineLvl w:val="1"/>
        <w:rPr>
          <w:rFonts w:ascii="Times New Roman" w:hAnsi="Times New Roman" w:eastAsia="黑体"/>
          <w:kern w:val="0"/>
        </w:rPr>
      </w:pPr>
      <w:bookmarkStart w:id="175" w:name="_Toc18730"/>
      <w:r>
        <w:rPr>
          <w:rFonts w:ascii="Times New Roman" w:hAnsi="Times New Roman" w:eastAsia="黑体"/>
          <w:kern w:val="0"/>
        </w:rPr>
        <w:t>4.</w:t>
      </w:r>
      <w:r>
        <w:rPr>
          <w:rFonts w:hint="eastAsia" w:ascii="Times New Roman" w:hAnsi="Times New Roman" w:eastAsia="黑体"/>
          <w:kern w:val="0"/>
        </w:rPr>
        <w:t>2 数据安全</w:t>
      </w:r>
      <w:bookmarkEnd w:id="172"/>
      <w:r>
        <w:rPr>
          <w:rFonts w:ascii="Times New Roman" w:hAnsi="Times New Roman" w:eastAsia="黑体"/>
          <w:kern w:val="0"/>
        </w:rPr>
        <w:t>保护原则</w:t>
      </w:r>
      <w:bookmarkEnd w:id="175"/>
    </w:p>
    <w:p w14:paraId="10826926">
      <w:pPr>
        <w:widowControl/>
        <w:tabs>
          <w:tab w:val="center" w:pos="4201"/>
          <w:tab w:val="right" w:leader="dot" w:pos="9298"/>
        </w:tabs>
        <w:autoSpaceDE w:val="0"/>
        <w:autoSpaceDN w:val="0"/>
        <w:adjustRightInd/>
        <w:spacing w:line="240" w:lineRule="auto"/>
        <w:ind w:firstLine="420" w:firstLineChars="200"/>
        <w:rPr>
          <w:rFonts w:ascii="Times New Roman" w:hAnsi="Times New Roman"/>
          <w:snapToGrid w:val="0"/>
        </w:rPr>
      </w:pPr>
      <w:r>
        <w:rPr>
          <w:rFonts w:ascii="Times New Roman" w:hAnsi="Times New Roman"/>
        </w:rPr>
        <w:t>数据</w:t>
      </w:r>
      <w:r>
        <w:rPr>
          <w:rFonts w:hint="eastAsia" w:ascii="Times New Roman" w:hAnsi="Times New Roman"/>
        </w:rPr>
        <w:t>安全保护</w:t>
      </w:r>
      <w:r>
        <w:rPr>
          <w:rFonts w:ascii="Times New Roman" w:hAnsi="Times New Roman"/>
        </w:rPr>
        <w:t>应遵循以下原则：</w:t>
      </w:r>
    </w:p>
    <w:p w14:paraId="760881E3">
      <w:pPr>
        <w:numPr>
          <w:ilvl w:val="0"/>
          <w:numId w:val="37"/>
        </w:numPr>
        <w:adjustRightInd/>
        <w:spacing w:line="240" w:lineRule="auto"/>
        <w:ind w:left="845"/>
        <w:rPr>
          <w:rFonts w:ascii="Times New Roman" w:hAnsi="Times New Roman"/>
          <w:snapToGrid w:val="0"/>
        </w:rPr>
      </w:pPr>
      <w:r>
        <w:rPr>
          <w:rFonts w:ascii="Times New Roman" w:hAnsi="Times New Roman"/>
          <w:snapToGrid w:val="0"/>
        </w:rPr>
        <w:t>合法合规原则：</w:t>
      </w:r>
      <w:r>
        <w:rPr>
          <w:rFonts w:hint="eastAsia" w:ascii="Times New Roman" w:hAnsi="Times New Roman"/>
          <w:snapToGrid w:val="0"/>
        </w:rPr>
        <w:t>开展数据处理活动应根据法律法规规定，按照国家和所属行业主管（监管）部门的</w:t>
      </w:r>
      <w:r>
        <w:rPr>
          <w:rFonts w:ascii="Times New Roman" w:hAnsi="Times New Roman"/>
          <w:snapToGrid w:val="0"/>
        </w:rPr>
        <w:t>数据</w:t>
      </w:r>
      <w:r>
        <w:rPr>
          <w:rFonts w:hint="eastAsia" w:ascii="Times New Roman" w:hAnsi="Times New Roman"/>
          <w:snapToGrid w:val="0"/>
        </w:rPr>
        <w:t>安全</w:t>
      </w:r>
      <w:r>
        <w:rPr>
          <w:rFonts w:ascii="Times New Roman" w:hAnsi="Times New Roman"/>
          <w:snapToGrid w:val="0"/>
        </w:rPr>
        <w:t>保护要求，</w:t>
      </w:r>
      <w:r>
        <w:rPr>
          <w:rFonts w:hint="eastAsia" w:ascii="Times New Roman" w:hAnsi="Times New Roman"/>
          <w:snapToGrid w:val="0"/>
        </w:rPr>
        <w:t>履行相应数据安全保护义务；</w:t>
      </w:r>
    </w:p>
    <w:p w14:paraId="3F6BCC50">
      <w:pPr>
        <w:numPr>
          <w:ilvl w:val="0"/>
          <w:numId w:val="37"/>
        </w:numPr>
        <w:adjustRightInd/>
        <w:spacing w:line="240" w:lineRule="auto"/>
        <w:ind w:left="845"/>
        <w:rPr>
          <w:rFonts w:ascii="Times New Roman" w:hAnsi="Times New Roman"/>
          <w:snapToGrid w:val="0"/>
        </w:rPr>
      </w:pPr>
      <w:r>
        <w:rPr>
          <w:rFonts w:ascii="Times New Roman" w:hAnsi="Times New Roman"/>
          <w:snapToGrid w:val="0"/>
        </w:rPr>
        <w:t>分类</w:t>
      </w:r>
      <w:r>
        <w:rPr>
          <w:rFonts w:hint="eastAsia" w:ascii="Times New Roman" w:hAnsi="Times New Roman"/>
          <w:snapToGrid w:val="0"/>
        </w:rPr>
        <w:t>分级</w:t>
      </w:r>
      <w:r>
        <w:rPr>
          <w:rFonts w:ascii="Times New Roman" w:hAnsi="Times New Roman"/>
          <w:snapToGrid w:val="0"/>
        </w:rPr>
        <w:t>原则：</w:t>
      </w:r>
      <w:r>
        <w:rPr>
          <w:rFonts w:hint="eastAsia"/>
          <w:snapToGrid w:val="0"/>
        </w:rPr>
        <w:t>对数据实行分类分级保护，</w:t>
      </w:r>
      <w:r>
        <w:rPr>
          <w:rFonts w:hint="eastAsia" w:ascii="Times New Roman" w:hAnsi="Times New Roman"/>
          <w:snapToGrid w:val="0"/>
        </w:rPr>
        <w:t>数据按照重要性、精度、规模、安全风险等分为一般、重要、核心三级，</w:t>
      </w:r>
      <w:r>
        <w:rPr>
          <w:rFonts w:ascii="Times New Roman" w:hAnsi="Times New Roman"/>
          <w:snapToGrid w:val="0"/>
        </w:rPr>
        <w:t>对不同级别的数据采取相应</w:t>
      </w:r>
      <w:r>
        <w:rPr>
          <w:rFonts w:hint="eastAsia" w:ascii="Times New Roman" w:hAnsi="Times New Roman"/>
          <w:snapToGrid w:val="0"/>
        </w:rPr>
        <w:t>的</w:t>
      </w:r>
      <w:r>
        <w:rPr>
          <w:rFonts w:ascii="Times New Roman" w:hAnsi="Times New Roman"/>
          <w:snapToGrid w:val="0"/>
        </w:rPr>
        <w:t>数据安全</w:t>
      </w:r>
      <w:r>
        <w:rPr>
          <w:rFonts w:hint="eastAsia" w:ascii="Times New Roman" w:hAnsi="Times New Roman"/>
          <w:snapToGrid w:val="0"/>
        </w:rPr>
        <w:t>保护</w:t>
      </w:r>
      <w:r>
        <w:rPr>
          <w:rFonts w:ascii="Times New Roman" w:hAnsi="Times New Roman"/>
          <w:snapToGrid w:val="0"/>
        </w:rPr>
        <w:t>措施</w:t>
      </w:r>
      <w:r>
        <w:rPr>
          <w:rFonts w:hint="eastAsia" w:ascii="Times New Roman" w:hAnsi="Times New Roman"/>
          <w:snapToGrid w:val="0"/>
        </w:rPr>
        <w:t>，一般数据在履行法定义务的基础上按需保护，</w:t>
      </w:r>
      <w:r>
        <w:rPr>
          <w:rFonts w:ascii="Times New Roman" w:hAnsi="Times New Roman"/>
          <w:snapToGrid w:val="0"/>
        </w:rPr>
        <w:t>重要数据</w:t>
      </w:r>
      <w:r>
        <w:rPr>
          <w:rFonts w:hint="eastAsia" w:ascii="Times New Roman" w:hAnsi="Times New Roman"/>
          <w:snapToGrid w:val="0"/>
        </w:rPr>
        <w:t>加强</w:t>
      </w:r>
      <w:r>
        <w:rPr>
          <w:rFonts w:ascii="Times New Roman" w:hAnsi="Times New Roman"/>
          <w:snapToGrid w:val="0"/>
        </w:rPr>
        <w:t>保护，核心数据严格管理；</w:t>
      </w:r>
    </w:p>
    <w:p w14:paraId="2589F3CD">
      <w:pPr>
        <w:numPr>
          <w:ilvl w:val="0"/>
          <w:numId w:val="37"/>
        </w:numPr>
        <w:adjustRightInd/>
        <w:spacing w:line="240" w:lineRule="auto"/>
        <w:ind w:left="845"/>
        <w:rPr>
          <w:rFonts w:ascii="Times New Roman" w:hAnsi="Times New Roman"/>
          <w:snapToGrid w:val="0"/>
        </w:rPr>
      </w:pPr>
      <w:r>
        <w:rPr>
          <w:rFonts w:ascii="Times New Roman" w:hAnsi="Times New Roman"/>
          <w:snapToGrid w:val="0"/>
        </w:rPr>
        <w:t>就高从严原则：不同</w:t>
      </w:r>
      <w:r>
        <w:rPr>
          <w:rFonts w:hint="eastAsia" w:ascii="Times New Roman" w:hAnsi="Times New Roman"/>
          <w:snapToGrid w:val="0"/>
        </w:rPr>
        <w:t>类别、</w:t>
      </w:r>
      <w:r>
        <w:rPr>
          <w:rFonts w:ascii="Times New Roman" w:hAnsi="Times New Roman"/>
          <w:snapToGrid w:val="0"/>
        </w:rPr>
        <w:t>级别数据同时被处理且难以分别采取保护措施的，按照其中级别最高的要求实施保护，确保数据集</w:t>
      </w:r>
      <w:r>
        <w:rPr>
          <w:rFonts w:hint="eastAsia" w:ascii="Times New Roman" w:hAnsi="Times New Roman"/>
          <w:snapToGrid w:val="0"/>
        </w:rPr>
        <w:t>整体</w:t>
      </w:r>
      <w:r>
        <w:rPr>
          <w:rFonts w:ascii="Times New Roman" w:hAnsi="Times New Roman"/>
          <w:snapToGrid w:val="0"/>
        </w:rPr>
        <w:t>持续处于有效保护和合法利用的状态；</w:t>
      </w:r>
    </w:p>
    <w:p w14:paraId="385AD80A">
      <w:pPr>
        <w:numPr>
          <w:ilvl w:val="0"/>
          <w:numId w:val="37"/>
        </w:numPr>
        <w:adjustRightInd/>
        <w:spacing w:line="240" w:lineRule="auto"/>
        <w:ind w:left="845"/>
        <w:rPr>
          <w:rFonts w:ascii="Times New Roman" w:hAnsi="Times New Roman"/>
          <w:snapToGrid w:val="0"/>
        </w:rPr>
      </w:pPr>
      <w:r>
        <w:rPr>
          <w:rFonts w:ascii="Times New Roman" w:hAnsi="Times New Roman"/>
          <w:snapToGrid w:val="0"/>
        </w:rPr>
        <w:t>全程</w:t>
      </w:r>
      <w:r>
        <w:rPr>
          <w:rFonts w:hint="eastAsia" w:ascii="Times New Roman" w:hAnsi="Times New Roman"/>
          <w:snapToGrid w:val="0"/>
        </w:rPr>
        <w:t>保护</w:t>
      </w:r>
      <w:r>
        <w:rPr>
          <w:rFonts w:ascii="Times New Roman" w:hAnsi="Times New Roman"/>
          <w:snapToGrid w:val="0"/>
        </w:rPr>
        <w:t>原则：数据安全保护措施覆盖数据收集、存储、使用、加工、传输、提供、公开、删除等数据处理全过程；</w:t>
      </w:r>
    </w:p>
    <w:p w14:paraId="101EC5F0">
      <w:pPr>
        <w:numPr>
          <w:ilvl w:val="0"/>
          <w:numId w:val="37"/>
        </w:numPr>
        <w:adjustRightInd/>
        <w:spacing w:line="240" w:lineRule="auto"/>
        <w:ind w:left="845"/>
        <w:rPr>
          <w:rFonts w:ascii="Times New Roman" w:hAnsi="Times New Roman"/>
        </w:rPr>
      </w:pPr>
      <w:r>
        <w:rPr>
          <w:rFonts w:ascii="Times New Roman" w:hAnsi="Times New Roman"/>
          <w:snapToGrid w:val="0"/>
        </w:rPr>
        <w:t>风险</w:t>
      </w:r>
      <w:r>
        <w:rPr>
          <w:rFonts w:hint="eastAsia" w:ascii="Times New Roman" w:hAnsi="Times New Roman"/>
          <w:snapToGrid w:val="0"/>
        </w:rPr>
        <w:t>防范</w:t>
      </w:r>
      <w:r>
        <w:rPr>
          <w:rFonts w:ascii="Times New Roman" w:hAnsi="Times New Roman"/>
          <w:snapToGrid w:val="0"/>
        </w:rPr>
        <w:t>原则：</w:t>
      </w:r>
      <w:r>
        <w:rPr>
          <w:rFonts w:hint="eastAsia" w:ascii="Times New Roman" w:hAnsi="Times New Roman"/>
          <w:snapToGrid w:val="0"/>
        </w:rPr>
        <w:t>统筹数据开发利用与数据安全保障，综合</w:t>
      </w:r>
      <w:r>
        <w:rPr>
          <w:rFonts w:ascii="Times New Roman" w:hAnsi="Times New Roman"/>
          <w:snapToGrid w:val="0"/>
        </w:rPr>
        <w:t>考虑</w:t>
      </w:r>
      <w:r>
        <w:rPr>
          <w:rFonts w:hint="eastAsia" w:ascii="Times New Roman" w:hAnsi="Times New Roman"/>
          <w:snapToGrid w:val="0"/>
        </w:rPr>
        <w:t>数据创新应用和安全风险隐患</w:t>
      </w:r>
      <w:r>
        <w:rPr>
          <w:rFonts w:ascii="Times New Roman" w:hAnsi="Times New Roman"/>
          <w:snapToGrid w:val="0"/>
        </w:rPr>
        <w:t>，</w:t>
      </w:r>
      <w:r>
        <w:rPr>
          <w:rFonts w:hint="eastAsia" w:ascii="Times New Roman" w:hAnsi="Times New Roman"/>
          <w:snapToGrid w:val="0"/>
        </w:rPr>
        <w:t>采取与风险适配的安全措施，防范</w:t>
      </w:r>
      <w:r>
        <w:rPr>
          <w:rFonts w:ascii="Times New Roman" w:hAnsi="Times New Roman"/>
          <w:snapToGrid w:val="0"/>
        </w:rPr>
        <w:t>数据篡改、破坏、泄露</w:t>
      </w:r>
      <w:r>
        <w:rPr>
          <w:rFonts w:hint="eastAsia" w:ascii="Times New Roman" w:hAnsi="Times New Roman"/>
          <w:snapToGrid w:val="0"/>
        </w:rPr>
        <w:t>或者</w:t>
      </w:r>
      <w:r>
        <w:rPr>
          <w:rFonts w:ascii="Times New Roman" w:hAnsi="Times New Roman"/>
          <w:snapToGrid w:val="0"/>
        </w:rPr>
        <w:t>非法获取、非法利用、非法</w:t>
      </w:r>
      <w:r>
        <w:rPr>
          <w:rFonts w:hint="eastAsia" w:ascii="Times New Roman" w:hAnsi="Times New Roman"/>
          <w:snapToGrid w:val="0"/>
        </w:rPr>
        <w:t>共享</w:t>
      </w:r>
      <w:r>
        <w:rPr>
          <w:rFonts w:ascii="Times New Roman" w:hAnsi="Times New Roman"/>
          <w:snapToGrid w:val="0"/>
        </w:rPr>
        <w:t>等风险</w:t>
      </w:r>
      <w:r>
        <w:rPr>
          <w:rFonts w:hint="eastAsia" w:ascii="Times New Roman" w:hAnsi="Times New Roman"/>
          <w:snapToGrid w:val="0"/>
        </w:rPr>
        <w:t>；</w:t>
      </w:r>
    </w:p>
    <w:p w14:paraId="079C348C">
      <w:pPr>
        <w:numPr>
          <w:ilvl w:val="0"/>
          <w:numId w:val="37"/>
        </w:numPr>
        <w:adjustRightInd/>
        <w:spacing w:line="240" w:lineRule="auto"/>
        <w:ind w:left="845"/>
        <w:rPr>
          <w:rFonts w:ascii="Times New Roman" w:hAnsi="Times New Roman"/>
          <w:snapToGrid w:val="0"/>
        </w:rPr>
      </w:pPr>
      <w:r>
        <w:rPr>
          <w:rFonts w:hint="eastAsia" w:ascii="Times New Roman" w:hAnsi="Times New Roman"/>
          <w:snapToGrid w:val="0"/>
        </w:rPr>
        <w:t>责任明确原则：数据处理活动涉及多个相关方的，应明确数据安全责任主体以及相关方各自的安全责任。</w:t>
      </w:r>
    </w:p>
    <w:bookmarkEnd w:id="173"/>
    <w:bookmarkEnd w:id="174"/>
    <w:p w14:paraId="0E98A6B8">
      <w:pPr>
        <w:widowControl/>
        <w:adjustRightInd/>
        <w:spacing w:before="156" w:beforeLines="50" w:after="156" w:afterLines="50" w:line="240" w:lineRule="auto"/>
        <w:jc w:val="left"/>
        <w:outlineLvl w:val="1"/>
        <w:rPr>
          <w:rFonts w:ascii="Times New Roman" w:hAnsi="Times New Roman" w:eastAsia="黑体"/>
          <w:kern w:val="0"/>
        </w:rPr>
      </w:pPr>
      <w:bookmarkStart w:id="176" w:name="_Toc10143"/>
      <w:r>
        <w:rPr>
          <w:rFonts w:ascii="Times New Roman" w:hAnsi="Times New Roman" w:eastAsia="黑体"/>
          <w:kern w:val="0"/>
        </w:rPr>
        <w:t>4.</w:t>
      </w:r>
      <w:r>
        <w:rPr>
          <w:rFonts w:hint="eastAsia" w:ascii="Times New Roman" w:hAnsi="Times New Roman" w:eastAsia="黑体"/>
          <w:kern w:val="0"/>
        </w:rPr>
        <w:t>3 数据安全</w:t>
      </w:r>
      <w:r>
        <w:rPr>
          <w:rFonts w:ascii="Times New Roman" w:hAnsi="Times New Roman" w:eastAsia="黑体"/>
          <w:kern w:val="0"/>
        </w:rPr>
        <w:t>保护框架</w:t>
      </w:r>
      <w:bookmarkEnd w:id="176"/>
    </w:p>
    <w:p w14:paraId="11409BBE">
      <w:pPr>
        <w:widowControl/>
        <w:tabs>
          <w:tab w:val="center" w:pos="4201"/>
          <w:tab w:val="right" w:leader="dot" w:pos="9298"/>
        </w:tabs>
        <w:autoSpaceDE w:val="0"/>
        <w:autoSpaceDN w:val="0"/>
        <w:adjustRightInd/>
        <w:spacing w:line="240" w:lineRule="auto"/>
        <w:ind w:firstLine="420" w:firstLineChars="200"/>
        <w:rPr>
          <w:rFonts w:ascii="Times New Roman" w:hAnsi="Times New Roman"/>
          <w:snapToGrid w:val="0"/>
        </w:rPr>
      </w:pPr>
      <w:r>
        <w:rPr>
          <w:rFonts w:hint="eastAsia" w:ascii="Times New Roman" w:hAnsi="Times New Roman"/>
          <w:snapToGrid w:val="0"/>
        </w:rPr>
        <w:t>数据处理者根据数据安全保护目标和原则，首先开展数据分类分级、明确数据安全责任，再针对重要数据识别结果，确定各级别数据对应的数据安全保护要求。各行业领域或数据处理者可在本文件提出的保护要求基础上，根据自身的数据分类分级和数据安全风险自主细化或提高保护要求。数据安全保护框架如图 1所示。</w:t>
      </w:r>
    </w:p>
    <w:p w14:paraId="76A372A8">
      <w:pPr>
        <w:numPr>
          <w:ilvl w:val="0"/>
          <w:numId w:val="38"/>
        </w:numPr>
        <w:adjustRightInd/>
        <w:spacing w:line="240" w:lineRule="auto"/>
        <w:ind w:left="845"/>
        <w:rPr>
          <w:rFonts w:ascii="Times New Roman" w:hAnsi="Times New Roman"/>
          <w:snapToGrid w:val="0"/>
        </w:rPr>
      </w:pPr>
      <w:r>
        <w:rPr>
          <w:rFonts w:hint="eastAsia" w:ascii="Times New Roman" w:hAnsi="Times New Roman"/>
          <w:snapToGrid w:val="0"/>
        </w:rPr>
        <w:t>识别数据处理活动相关方，按照5.1要求明确相关方数据安全责任；</w:t>
      </w:r>
    </w:p>
    <w:p w14:paraId="77727E6E">
      <w:pPr>
        <w:numPr>
          <w:ilvl w:val="0"/>
          <w:numId w:val="38"/>
        </w:numPr>
        <w:adjustRightInd/>
        <w:spacing w:line="240" w:lineRule="auto"/>
        <w:ind w:left="845"/>
        <w:rPr>
          <w:rFonts w:ascii="Times New Roman" w:hAnsi="Times New Roman"/>
          <w:snapToGrid w:val="0"/>
        </w:rPr>
      </w:pPr>
      <w:r>
        <w:rPr>
          <w:rFonts w:hint="eastAsia" w:ascii="Times New Roman" w:hAnsi="Times New Roman"/>
          <w:snapToGrid w:val="0"/>
        </w:rPr>
        <w:t>按照5.2要求对数据进行分类分级管理，识别一般数据、重要数据和核心数据；</w:t>
      </w:r>
    </w:p>
    <w:p w14:paraId="7E693546">
      <w:pPr>
        <w:numPr>
          <w:ilvl w:val="0"/>
          <w:numId w:val="38"/>
        </w:numPr>
        <w:adjustRightInd/>
        <w:spacing w:line="240" w:lineRule="auto"/>
        <w:ind w:left="845"/>
        <w:rPr>
          <w:rFonts w:ascii="Times New Roman" w:hAnsi="Times New Roman"/>
          <w:snapToGrid w:val="0"/>
        </w:rPr>
      </w:pPr>
      <w:r>
        <w:rPr>
          <w:rFonts w:hint="eastAsia" w:ascii="Times New Roman" w:hAnsi="Times New Roman"/>
          <w:snapToGrid w:val="0"/>
        </w:rPr>
        <w:t>按照国家和所属行业需满足的数据安全合规要求，结合可能面临的数据安全风险，对不同级别数据采取相应安全措施：</w:t>
      </w:r>
    </w:p>
    <w:p w14:paraId="252DAD40">
      <w:pPr>
        <w:numPr>
          <w:ilvl w:val="0"/>
          <w:numId w:val="39"/>
        </w:numPr>
        <w:adjustRightInd/>
        <w:spacing w:line="240" w:lineRule="auto"/>
        <w:rPr>
          <w:rFonts w:ascii="Times New Roman" w:hAnsi="Times New Roman"/>
          <w:snapToGrid w:val="0"/>
        </w:rPr>
      </w:pPr>
      <w:r>
        <w:rPr>
          <w:rFonts w:hint="eastAsia" w:ascii="Times New Roman" w:hAnsi="Times New Roman"/>
          <w:snapToGrid w:val="0"/>
        </w:rPr>
        <w:t>一般数据保护：参照本文件第5章相应要求，采取与合规要求、安全风险相匹配的数据安全措施，履行数据处理合规和数据安全保护法定义务，实现数据安全保护目标和原则，鼓励一般数据在安全合规的基础上自由流动；</w:t>
      </w:r>
    </w:p>
    <w:p w14:paraId="645C3C9A">
      <w:pPr>
        <w:pStyle w:val="62"/>
      </w:pPr>
      <w:r>
        <w:rPr>
          <w:rFonts w:hint="eastAsia"/>
        </w:rPr>
        <w:t>注：</w:t>
      </w:r>
      <w:r>
        <w:rPr>
          <w:rFonts w:hAnsi="宋体" w:eastAsia="宋体" w:cs="宋体"/>
        </w:rPr>
        <w:t>数据处理者可结合一般数据分级情况，</w:t>
      </w:r>
      <w:r>
        <w:rPr>
          <w:rFonts w:hint="eastAsia" w:hAnsi="宋体" w:eastAsia="宋体" w:cs="宋体"/>
        </w:rPr>
        <w:t>进一步细化</w:t>
      </w:r>
      <w:r>
        <w:rPr>
          <w:rFonts w:hAnsi="宋体" w:eastAsia="宋体" w:cs="宋体"/>
        </w:rPr>
        <w:t>一般数据</w:t>
      </w:r>
      <w:r>
        <w:rPr>
          <w:rFonts w:hint="eastAsia" w:hAnsi="宋体" w:eastAsia="宋体" w:cs="宋体"/>
        </w:rPr>
        <w:t>各</w:t>
      </w:r>
      <w:r>
        <w:rPr>
          <w:rFonts w:hAnsi="宋体" w:eastAsia="宋体" w:cs="宋体"/>
        </w:rPr>
        <w:t>级别对应的数据</w:t>
      </w:r>
      <w:r>
        <w:rPr>
          <w:rFonts w:hint="eastAsia" w:hAnsi="宋体" w:eastAsia="宋体" w:cs="宋体"/>
        </w:rPr>
        <w:t>安全</w:t>
      </w:r>
      <w:r>
        <w:rPr>
          <w:rFonts w:hAnsi="宋体" w:eastAsia="宋体" w:cs="宋体"/>
        </w:rPr>
        <w:t>要求</w:t>
      </w:r>
      <w:r>
        <w:rPr>
          <w:rFonts w:hint="eastAsia" w:hAnsi="宋体" w:eastAsia="宋体" w:cs="宋体"/>
        </w:rPr>
        <w:t>。</w:t>
      </w:r>
    </w:p>
    <w:p w14:paraId="418DBD4E">
      <w:pPr>
        <w:numPr>
          <w:ilvl w:val="0"/>
          <w:numId w:val="39"/>
        </w:numPr>
        <w:adjustRightInd/>
        <w:spacing w:line="240" w:lineRule="auto"/>
        <w:rPr>
          <w:rFonts w:ascii="Times New Roman" w:hAnsi="Times New Roman"/>
          <w:snapToGrid w:val="0"/>
        </w:rPr>
      </w:pPr>
      <w:r>
        <w:rPr>
          <w:rFonts w:ascii="Times New Roman" w:hAnsi="Times New Roman"/>
          <w:snapToGrid w:val="0"/>
        </w:rPr>
        <w:t>重要数据</w:t>
      </w:r>
      <w:r>
        <w:rPr>
          <w:rFonts w:hint="eastAsia" w:ascii="Times New Roman" w:hAnsi="Times New Roman"/>
          <w:snapToGrid w:val="0"/>
        </w:rPr>
        <w:t>保护：在满足第5章通用要求基础上，按照本文件第6章内容进行重点保护；</w:t>
      </w:r>
    </w:p>
    <w:p w14:paraId="75A43F9C">
      <w:pPr>
        <w:numPr>
          <w:ilvl w:val="0"/>
          <w:numId w:val="39"/>
        </w:numPr>
        <w:adjustRightInd/>
        <w:spacing w:line="240" w:lineRule="auto"/>
        <w:rPr>
          <w:rFonts w:ascii="Times New Roman" w:hAnsi="Times New Roman"/>
          <w:snapToGrid w:val="0"/>
        </w:rPr>
      </w:pPr>
      <w:r>
        <w:rPr>
          <w:rFonts w:ascii="Times New Roman" w:hAnsi="Times New Roman"/>
          <w:snapToGrid w:val="0"/>
        </w:rPr>
        <w:t>核心数据</w:t>
      </w:r>
      <w:r>
        <w:rPr>
          <w:rFonts w:hint="eastAsia" w:ascii="Times New Roman" w:hAnsi="Times New Roman"/>
          <w:snapToGrid w:val="0"/>
        </w:rPr>
        <w:t>保护：在满足第5章、第6章要求基础上，按照国家有关规定，参考本文件第7章进行严格管理。</w:t>
      </w:r>
    </w:p>
    <w:p w14:paraId="3929418D">
      <w:pPr>
        <w:numPr>
          <w:ilvl w:val="0"/>
          <w:numId w:val="38"/>
        </w:numPr>
        <w:adjustRightInd/>
        <w:spacing w:line="240" w:lineRule="auto"/>
        <w:ind w:left="845"/>
        <w:rPr>
          <w:rFonts w:ascii="Times New Roman" w:hAnsi="Times New Roman"/>
          <w:snapToGrid w:val="0"/>
        </w:rPr>
      </w:pPr>
      <w:r>
        <w:rPr>
          <w:rFonts w:hint="eastAsia" w:ascii="Times New Roman" w:hAnsi="Times New Roman"/>
          <w:snapToGrid w:val="0"/>
        </w:rPr>
        <w:t>在满足本文件提出的数据安全保护要求的基础上，个人信息、政务数据等国家或行业另有要求的，应按照相关规定和标准进行保护：</w:t>
      </w:r>
    </w:p>
    <w:p w14:paraId="7EC49E0D">
      <w:pPr>
        <w:numPr>
          <w:ilvl w:val="0"/>
          <w:numId w:val="40"/>
        </w:numPr>
        <w:tabs>
          <w:tab w:val="left" w:pos="420"/>
        </w:tabs>
        <w:adjustRightInd/>
        <w:spacing w:line="240" w:lineRule="auto"/>
        <w:ind w:left="1265"/>
        <w:rPr>
          <w:rFonts w:ascii="Times New Roman" w:hAnsi="Times New Roman"/>
        </w:rPr>
      </w:pPr>
      <w:r>
        <w:rPr>
          <w:rFonts w:ascii="Times New Roman" w:hAnsi="Times New Roman"/>
        </w:rPr>
        <w:t>个人</w:t>
      </w:r>
      <w:r>
        <w:rPr>
          <w:rFonts w:hint="eastAsia" w:ascii="Times New Roman" w:hAnsi="Times New Roman"/>
        </w:rPr>
        <w:t>信息保护可参考GB/T 35273等标准要求，敏感个人信息可参考GB/T 45574等标准要求；</w:t>
      </w:r>
    </w:p>
    <w:p w14:paraId="57F06523">
      <w:pPr>
        <w:pStyle w:val="62"/>
        <w:ind w:left="1171" w:hanging="331" w:hangingChars="184"/>
        <w:rPr>
          <w:rFonts w:hAnsi="宋体" w:eastAsia="宋体"/>
        </w:rPr>
      </w:pPr>
      <w:r>
        <w:t>注：</w:t>
      </w:r>
      <w:r>
        <w:rPr>
          <w:rFonts w:hint="eastAsia" w:hAnsi="宋体" w:eastAsia="宋体" w:cs="宋体"/>
        </w:rPr>
        <w:t>履行</w:t>
      </w:r>
      <w:r>
        <w:rPr>
          <w:rFonts w:hint="eastAsia" w:hAnsi="宋体" w:eastAsia="宋体"/>
        </w:rPr>
        <w:t>个人信息保护义务时，也可参考相应的国家标准，如个人信息处理规则、告知同意、合规审计、影响评估、App个人信息等。</w:t>
      </w:r>
    </w:p>
    <w:p w14:paraId="3C64D8D7">
      <w:pPr>
        <w:numPr>
          <w:ilvl w:val="0"/>
          <w:numId w:val="40"/>
        </w:numPr>
        <w:tabs>
          <w:tab w:val="left" w:pos="420"/>
        </w:tabs>
        <w:adjustRightInd/>
        <w:spacing w:line="240" w:lineRule="auto"/>
        <w:ind w:left="1265"/>
        <w:rPr>
          <w:rFonts w:ascii="Times New Roman" w:hAnsi="Times New Roman"/>
        </w:rPr>
      </w:pPr>
      <w:r>
        <w:rPr>
          <w:rFonts w:hint="eastAsia" w:ascii="Times New Roman" w:hAnsi="Times New Roman"/>
        </w:rPr>
        <w:t>政务数据处理安全应满足GB/T 45396等标准要求</w:t>
      </w:r>
      <w:r>
        <w:rPr>
          <w:rFonts w:ascii="Times New Roman" w:hAnsi="Times New Roman"/>
        </w:rPr>
        <w:t>。</w:t>
      </w:r>
    </w:p>
    <w:p w14:paraId="03DF83E1">
      <w:pPr>
        <w:tabs>
          <w:tab w:val="left" w:pos="420"/>
        </w:tabs>
        <w:adjustRightInd/>
        <w:spacing w:line="240" w:lineRule="auto"/>
        <w:jc w:val="center"/>
        <w:rPr>
          <w:rFonts w:ascii="Times New Roman" w:hAnsi="Times New Roman"/>
        </w:rPr>
      </w:pPr>
      <w:r>
        <w:t xml:space="preserve">  </w:t>
      </w:r>
      <w:r>
        <w:drawing>
          <wp:inline distT="0" distB="0" distL="0" distR="0">
            <wp:extent cx="5274310" cy="4692650"/>
            <wp:effectExtent l="0" t="0" r="2540" b="0"/>
            <wp:docPr id="21293082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08211" name="图片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274310" cy="4692650"/>
                    </a:xfrm>
                    <a:prstGeom prst="rect">
                      <a:avLst/>
                    </a:prstGeom>
                    <a:noFill/>
                    <a:ln>
                      <a:noFill/>
                    </a:ln>
                  </pic:spPr>
                </pic:pic>
              </a:graphicData>
            </a:graphic>
          </wp:inline>
        </w:drawing>
      </w:r>
    </w:p>
    <w:p w14:paraId="30D30510">
      <w:pPr>
        <w:tabs>
          <w:tab w:val="left" w:pos="420"/>
        </w:tabs>
        <w:adjustRightInd/>
        <w:spacing w:line="240" w:lineRule="auto"/>
        <w:jc w:val="center"/>
        <w:rPr>
          <w:rFonts w:ascii="Times New Roman" w:hAnsi="Times New Roman" w:eastAsia="黑体"/>
          <w:szCs w:val="24"/>
        </w:rPr>
      </w:pPr>
      <w:r>
        <w:rPr>
          <w:rFonts w:ascii="Times New Roman" w:hAnsi="Times New Roman" w:eastAsia="黑体"/>
          <w:szCs w:val="24"/>
        </w:rPr>
        <w:t>图1 数据安全保护框架</w:t>
      </w:r>
    </w:p>
    <w:p w14:paraId="2A7604BD">
      <w:pPr>
        <w:pStyle w:val="110"/>
        <w:spacing w:before="312" w:after="312"/>
        <w:rPr>
          <w:rFonts w:ascii="Times New Roman"/>
          <w:snapToGrid w:val="0"/>
        </w:rPr>
      </w:pPr>
      <w:bookmarkStart w:id="177" w:name="_Toc27124"/>
      <w:r>
        <w:rPr>
          <w:rFonts w:hint="eastAsia" w:ascii="Times New Roman"/>
          <w:snapToGrid w:val="0"/>
        </w:rPr>
        <w:t>通用</w:t>
      </w:r>
      <w:r>
        <w:rPr>
          <w:rFonts w:ascii="Times New Roman"/>
          <w:snapToGrid w:val="0"/>
        </w:rPr>
        <w:t>要求</w:t>
      </w:r>
      <w:bookmarkEnd w:id="177"/>
    </w:p>
    <w:p w14:paraId="0CA09CE8">
      <w:pPr>
        <w:widowControl/>
        <w:adjustRightInd/>
        <w:spacing w:before="156" w:beforeLines="50" w:after="156" w:afterLines="50" w:line="240" w:lineRule="auto"/>
        <w:jc w:val="left"/>
        <w:outlineLvl w:val="1"/>
        <w:rPr>
          <w:rFonts w:ascii="Times New Roman"/>
        </w:rPr>
      </w:pPr>
      <w:bookmarkStart w:id="178" w:name="_Toc18312"/>
      <w:r>
        <w:rPr>
          <w:rFonts w:ascii="Times New Roman" w:hAnsi="Times New Roman" w:eastAsia="黑体"/>
          <w:kern w:val="0"/>
        </w:rPr>
        <w:t>5.1</w:t>
      </w:r>
      <w:r>
        <w:rPr>
          <w:rFonts w:hint="eastAsia" w:ascii="Times New Roman" w:hAnsi="Times New Roman" w:eastAsia="黑体"/>
          <w:kern w:val="0"/>
        </w:rPr>
        <w:t xml:space="preserve"> 数据安全责任</w:t>
      </w:r>
      <w:bookmarkEnd w:id="178"/>
    </w:p>
    <w:p w14:paraId="08B02662">
      <w:pPr>
        <w:numPr>
          <w:ilvl w:val="0"/>
          <w:numId w:val="41"/>
        </w:numPr>
        <w:adjustRightInd/>
        <w:spacing w:line="240" w:lineRule="auto"/>
        <w:ind w:left="845"/>
        <w:rPr>
          <w:rFonts w:ascii="Times New Roman"/>
        </w:rPr>
      </w:pPr>
      <w:r>
        <w:rPr>
          <w:rFonts w:hint="eastAsia" w:ascii="Times New Roman" w:hAnsi="Times New Roman"/>
        </w:rPr>
        <w:t>各有关主管（监管）部门按照“谁管业务，谁管业务数据，谁管数据安全”原则，对本行业本领域数据安全负指导监督责任；</w:t>
      </w:r>
    </w:p>
    <w:p w14:paraId="68BD369F">
      <w:pPr>
        <w:numPr>
          <w:ilvl w:val="0"/>
          <w:numId w:val="41"/>
        </w:numPr>
        <w:adjustRightInd/>
        <w:spacing w:line="240" w:lineRule="auto"/>
        <w:ind w:left="845"/>
        <w:rPr>
          <w:rFonts w:ascii="Times New Roman" w:hAnsi="Times New Roman"/>
        </w:rPr>
      </w:pPr>
      <w:r>
        <w:rPr>
          <w:rFonts w:hint="eastAsia" w:ascii="Times New Roman" w:hAnsi="Times New Roman"/>
        </w:rPr>
        <w:t>主管（监管）部门应当落实数据安全责任制，领导班子对本部门本单位数据安全工作负主体责任，领导班子主要负责人是第一责任人，分管数据安全的班子成员是直接责任人，其他成员对职责范围内的数据安全工作负领导责任；</w:t>
      </w:r>
    </w:p>
    <w:p w14:paraId="3DE5545E">
      <w:pPr>
        <w:numPr>
          <w:ilvl w:val="0"/>
          <w:numId w:val="41"/>
        </w:numPr>
        <w:adjustRightInd/>
        <w:spacing w:line="240" w:lineRule="auto"/>
        <w:ind w:left="845"/>
        <w:rPr>
          <w:rFonts w:ascii="Times New Roman" w:hAnsi="Times New Roman"/>
        </w:rPr>
      </w:pPr>
      <w:r>
        <w:rPr>
          <w:rFonts w:hint="eastAsia" w:ascii="Times New Roman" w:hAnsi="Times New Roman"/>
        </w:rPr>
        <w:t>数据处理者对自身的数据安全负主体责任，本单位本组织法定代表人或者主要负责人是数据安全第一责任人，分管数据安全的负责人是直接责任人；</w:t>
      </w:r>
    </w:p>
    <w:p w14:paraId="21E2757D">
      <w:pPr>
        <w:numPr>
          <w:ilvl w:val="0"/>
          <w:numId w:val="41"/>
        </w:numPr>
        <w:adjustRightInd/>
        <w:spacing w:line="240" w:lineRule="auto"/>
        <w:ind w:left="845"/>
        <w:rPr>
          <w:rFonts w:ascii="Times New Roman" w:hAnsi="Times New Roman"/>
        </w:rPr>
      </w:pPr>
      <w:r>
        <w:rPr>
          <w:rFonts w:hint="eastAsia" w:ascii="Times New Roman" w:hAnsi="Times New Roman"/>
        </w:rPr>
        <w:t>委托他人处理或者与他人共同处理重要数据的，数据安全责任不因委托而改变；</w:t>
      </w:r>
    </w:p>
    <w:p w14:paraId="07C20000">
      <w:pPr>
        <w:numPr>
          <w:ilvl w:val="0"/>
          <w:numId w:val="41"/>
        </w:numPr>
        <w:adjustRightInd/>
        <w:spacing w:line="240" w:lineRule="auto"/>
        <w:ind w:left="845"/>
        <w:rPr>
          <w:rFonts w:ascii="Times New Roman" w:hAnsi="Times New Roman"/>
        </w:rPr>
      </w:pPr>
      <w:r>
        <w:rPr>
          <w:rFonts w:hint="eastAsia" w:ascii="Times New Roman" w:hAnsi="Times New Roman"/>
        </w:rPr>
        <w:t>数据接收方应当按照数据提供方根据所属行业领域有关标准规范确定的数据级别，对数据进行有效保护；</w:t>
      </w:r>
    </w:p>
    <w:p w14:paraId="3886AD55">
      <w:pPr>
        <w:numPr>
          <w:ilvl w:val="0"/>
          <w:numId w:val="41"/>
        </w:numPr>
        <w:adjustRightInd/>
        <w:spacing w:line="240" w:lineRule="auto"/>
        <w:ind w:left="845"/>
        <w:rPr>
          <w:rFonts w:ascii="Times New Roman" w:hAnsi="Times New Roman"/>
        </w:rPr>
      </w:pPr>
      <w:r>
        <w:rPr>
          <w:rFonts w:hint="eastAsia" w:ascii="Times New Roman" w:hAnsi="Times New Roman"/>
        </w:rPr>
        <w:t>数据处理者因合并、分立、解散、破产等原因需要转移数据的，数据接收方应继续履行数据安全保护义务；</w:t>
      </w:r>
    </w:p>
    <w:p w14:paraId="21B46B99">
      <w:pPr>
        <w:numPr>
          <w:ilvl w:val="0"/>
          <w:numId w:val="41"/>
        </w:numPr>
        <w:adjustRightInd/>
        <w:spacing w:line="240" w:lineRule="auto"/>
        <w:ind w:left="845"/>
        <w:rPr>
          <w:rFonts w:ascii="Times New Roman" w:hAnsi="Times New Roman"/>
        </w:rPr>
      </w:pPr>
      <w:r>
        <w:rPr>
          <w:rFonts w:hint="eastAsia" w:ascii="Times New Roman" w:hAnsi="Times New Roman"/>
        </w:rPr>
        <w:t>数据在供给、流通、利用过程中，相关方在享有数据要素流通收益的同时，应对各自的数据处理活动承担安全责任。</w:t>
      </w:r>
    </w:p>
    <w:p w14:paraId="21909EA1">
      <w:pPr>
        <w:widowControl/>
        <w:adjustRightInd/>
        <w:spacing w:before="156" w:beforeLines="50" w:after="156" w:afterLines="50" w:line="240" w:lineRule="auto"/>
        <w:jc w:val="left"/>
        <w:outlineLvl w:val="1"/>
        <w:rPr>
          <w:rFonts w:ascii="Times New Roman" w:hAnsi="Times New Roman" w:eastAsia="黑体"/>
          <w:kern w:val="0"/>
        </w:rPr>
      </w:pPr>
      <w:bookmarkStart w:id="179" w:name="_Toc18430"/>
      <w:r>
        <w:rPr>
          <w:rFonts w:ascii="Times New Roman" w:hAnsi="Times New Roman" w:eastAsia="黑体"/>
          <w:kern w:val="0"/>
        </w:rPr>
        <w:t>5.2</w:t>
      </w:r>
      <w:r>
        <w:rPr>
          <w:rFonts w:hint="eastAsia" w:ascii="Times New Roman" w:hAnsi="Times New Roman" w:eastAsia="黑体"/>
          <w:kern w:val="0"/>
        </w:rPr>
        <w:t xml:space="preserve"> 数据分类分级</w:t>
      </w:r>
      <w:bookmarkEnd w:id="179"/>
    </w:p>
    <w:p w14:paraId="44225C5B">
      <w:pPr>
        <w:widowControl/>
        <w:numPr>
          <w:ilvl w:val="255"/>
          <w:numId w:val="0"/>
        </w:numPr>
        <w:tabs>
          <w:tab w:val="center" w:pos="4201"/>
          <w:tab w:val="right" w:leader="dot" w:pos="9298"/>
        </w:tabs>
        <w:autoSpaceDE w:val="0"/>
        <w:autoSpaceDN w:val="0"/>
        <w:adjustRightInd/>
        <w:spacing w:line="240" w:lineRule="auto"/>
        <w:ind w:firstLine="420" w:firstLineChars="200"/>
        <w:rPr>
          <w:rFonts w:ascii="Times New Roman" w:hAnsi="Times New Roman"/>
        </w:rPr>
      </w:pPr>
      <w:r>
        <w:rPr>
          <w:rFonts w:hint="eastAsia" w:ascii="Times New Roman" w:hAnsi="Times New Roman"/>
        </w:rPr>
        <w:t>数据处理者应对数据进行分类分级，符合以下要求：</w:t>
      </w:r>
    </w:p>
    <w:p w14:paraId="753DEF0A">
      <w:pPr>
        <w:numPr>
          <w:ilvl w:val="0"/>
          <w:numId w:val="42"/>
        </w:numPr>
        <w:adjustRightInd/>
        <w:spacing w:line="240" w:lineRule="auto"/>
        <w:ind w:left="845"/>
        <w:rPr>
          <w:rFonts w:ascii="Times New Roman" w:hAnsi="Times New Roman"/>
        </w:rPr>
      </w:pPr>
      <w:r>
        <w:rPr>
          <w:rFonts w:hint="eastAsia" w:ascii="Times New Roman" w:hAnsi="Times New Roman"/>
        </w:rPr>
        <w:t>应按照国家和业务所属行业领域的数据分类分级要求，参考GB/T 43697 以及重要数据识别目录系列国家标准，对本单位本组织收集和产生的数据进行分类分级，按照数据重要性、精度、规模、安全风险等分为一般、重要、核心三级；</w:t>
      </w:r>
    </w:p>
    <w:p w14:paraId="6408469F">
      <w:pPr>
        <w:numPr>
          <w:ilvl w:val="0"/>
          <w:numId w:val="42"/>
        </w:numPr>
        <w:adjustRightInd/>
        <w:spacing w:line="240" w:lineRule="auto"/>
        <w:ind w:left="845"/>
        <w:rPr>
          <w:rFonts w:ascii="Times New Roman" w:hAnsi="Times New Roman"/>
        </w:rPr>
      </w:pPr>
      <w:r>
        <w:rPr>
          <w:rFonts w:hint="eastAsia" w:ascii="Times New Roman" w:hAnsi="Times New Roman"/>
        </w:rPr>
        <w:t>应按照国家和所属行业有关规定，识别本单位本组织收集和产生的重要数据、核心数据，形成重要数据和核心数据目录，并向所在地区行业主管（监管）部门申报备案；</w:t>
      </w:r>
    </w:p>
    <w:p w14:paraId="2C8A227F">
      <w:pPr>
        <w:numPr>
          <w:ilvl w:val="0"/>
          <w:numId w:val="42"/>
        </w:numPr>
        <w:adjustRightInd/>
        <w:spacing w:line="240" w:lineRule="auto"/>
        <w:ind w:left="845"/>
        <w:rPr>
          <w:rFonts w:ascii="Times New Roman" w:hAnsi="Times New Roman"/>
        </w:rPr>
      </w:pPr>
      <w:r>
        <w:rPr>
          <w:rFonts w:hint="eastAsia" w:ascii="Times New Roman" w:hAnsi="Times New Roman"/>
        </w:rPr>
        <w:t>未明确国家有关主管（监管）部门的，应按照本地区要求及时识别并报送重要数据目录；</w:t>
      </w:r>
    </w:p>
    <w:p w14:paraId="4A5A28B8">
      <w:pPr>
        <w:numPr>
          <w:ilvl w:val="0"/>
          <w:numId w:val="42"/>
        </w:numPr>
        <w:adjustRightInd/>
        <w:spacing w:line="240" w:lineRule="auto"/>
        <w:ind w:left="845"/>
        <w:rPr>
          <w:rFonts w:ascii="Times New Roman" w:hAnsi="Times New Roman"/>
        </w:rPr>
      </w:pPr>
      <w:r>
        <w:rPr>
          <w:rFonts w:hint="eastAsia" w:ascii="Times New Roman" w:hAnsi="Times New Roman"/>
        </w:rPr>
        <w:t>有关主管（监管）部门及时将重要数据、核心数据认定情况告知有关数据处理者；</w:t>
      </w:r>
    </w:p>
    <w:p w14:paraId="7FD8F8BA">
      <w:pPr>
        <w:numPr>
          <w:ilvl w:val="0"/>
          <w:numId w:val="42"/>
        </w:numPr>
        <w:adjustRightInd/>
        <w:spacing w:line="240" w:lineRule="auto"/>
        <w:ind w:left="845"/>
        <w:rPr>
          <w:rFonts w:ascii="Times New Roman" w:hAnsi="Times New Roman"/>
        </w:rPr>
      </w:pPr>
      <w:r>
        <w:rPr>
          <w:rFonts w:hint="eastAsia" w:ascii="Times New Roman" w:hAnsi="Times New Roman"/>
        </w:rPr>
        <w:t>应对收集和产生的数据进行定期梳理，确定所掌握数据的所属行业领域和级别，定期更新重要数据和核心数据目录；</w:t>
      </w:r>
    </w:p>
    <w:p w14:paraId="41CAE843">
      <w:pPr>
        <w:numPr>
          <w:ilvl w:val="0"/>
          <w:numId w:val="42"/>
        </w:numPr>
        <w:adjustRightInd/>
        <w:spacing w:line="240" w:lineRule="auto"/>
        <w:ind w:left="845"/>
        <w:rPr>
          <w:rFonts w:ascii="Times New Roman" w:hAnsi="Times New Roman"/>
        </w:rPr>
      </w:pPr>
      <w:r>
        <w:rPr>
          <w:rFonts w:hint="eastAsia" w:ascii="Times New Roman" w:hAnsi="Times New Roman"/>
        </w:rPr>
        <w:t>重要数据和核心数据目录实行动态管理，目录备案内容发生重大变化的，应按照行业主管（监管）部门要求在发生变化的规定期限内履行备案变更手续；</w:t>
      </w:r>
    </w:p>
    <w:p w14:paraId="203D3360">
      <w:pPr>
        <w:numPr>
          <w:ilvl w:val="0"/>
          <w:numId w:val="42"/>
        </w:numPr>
        <w:adjustRightInd/>
        <w:spacing w:line="240" w:lineRule="auto"/>
        <w:ind w:left="845"/>
        <w:rPr>
          <w:rFonts w:ascii="Times New Roman"/>
        </w:rPr>
      </w:pPr>
      <w:r>
        <w:rPr>
          <w:rFonts w:hint="eastAsia" w:ascii="Times New Roman" w:hAnsi="Times New Roman"/>
        </w:rPr>
        <w:t>在所属行业领域数据分类分级基础上，可结合本单位本组织的数据特点、业务属性和安全需求，对数据类别进行细分，对一般数据进行细化分级。</w:t>
      </w:r>
    </w:p>
    <w:p w14:paraId="66E8A5F7">
      <w:pPr>
        <w:widowControl/>
        <w:adjustRightInd/>
        <w:spacing w:before="156" w:beforeLines="50" w:after="156" w:afterLines="50" w:line="240" w:lineRule="auto"/>
        <w:jc w:val="left"/>
        <w:outlineLvl w:val="1"/>
        <w:rPr>
          <w:rFonts w:ascii="Times New Roman" w:hAnsi="Times New Roman" w:eastAsia="黑体"/>
          <w:kern w:val="0"/>
        </w:rPr>
      </w:pPr>
      <w:bookmarkStart w:id="180" w:name="_Toc9785"/>
      <w:r>
        <w:rPr>
          <w:rFonts w:ascii="Times New Roman" w:hAnsi="Times New Roman" w:eastAsia="黑体"/>
          <w:kern w:val="0"/>
        </w:rPr>
        <w:t>5.</w:t>
      </w:r>
      <w:r>
        <w:rPr>
          <w:rFonts w:hint="eastAsia" w:ascii="Times New Roman" w:hAnsi="Times New Roman" w:eastAsia="黑体"/>
          <w:kern w:val="0"/>
        </w:rPr>
        <w:t>3</w:t>
      </w:r>
      <w:r>
        <w:rPr>
          <w:rFonts w:ascii="Times New Roman" w:hAnsi="Times New Roman" w:eastAsia="黑体"/>
          <w:kern w:val="0"/>
        </w:rPr>
        <w:t xml:space="preserve"> 数据</w:t>
      </w:r>
      <w:r>
        <w:rPr>
          <w:rFonts w:hint="eastAsia" w:ascii="Times New Roman" w:hAnsi="Times New Roman" w:eastAsia="黑体"/>
          <w:kern w:val="0"/>
        </w:rPr>
        <w:t>安全保护制度</w:t>
      </w:r>
      <w:bookmarkEnd w:id="180"/>
    </w:p>
    <w:p w14:paraId="0633E880">
      <w:pPr>
        <w:widowControl/>
        <w:numPr>
          <w:ilvl w:val="255"/>
          <w:numId w:val="0"/>
        </w:numPr>
        <w:tabs>
          <w:tab w:val="center" w:pos="4201"/>
          <w:tab w:val="right" w:leader="dot" w:pos="9298"/>
        </w:tabs>
        <w:autoSpaceDE w:val="0"/>
        <w:autoSpaceDN w:val="0"/>
        <w:adjustRightInd/>
        <w:spacing w:line="240" w:lineRule="auto"/>
        <w:ind w:firstLine="420" w:firstLineChars="200"/>
        <w:rPr>
          <w:rFonts w:ascii="Times New Roman" w:hAnsi="Times New Roman"/>
        </w:rPr>
      </w:pPr>
      <w:r>
        <w:rPr>
          <w:rFonts w:hint="eastAsia" w:ascii="Times New Roman" w:hAnsi="Times New Roman"/>
        </w:rPr>
        <w:t>数据处理者应在满足数据安全保护目标和原则的基础上，建立数据安全保护制度，符合以下要求：</w:t>
      </w:r>
    </w:p>
    <w:p w14:paraId="106B1BF8">
      <w:pPr>
        <w:numPr>
          <w:ilvl w:val="0"/>
          <w:numId w:val="43"/>
        </w:numPr>
        <w:adjustRightInd/>
        <w:spacing w:line="240" w:lineRule="auto"/>
        <w:ind w:left="845"/>
        <w:rPr>
          <w:rFonts w:ascii="Times New Roman" w:hAnsi="Times New Roman"/>
        </w:rPr>
      </w:pPr>
      <w:r>
        <w:rPr>
          <w:rFonts w:hint="eastAsia" w:ascii="Times New Roman" w:hAnsi="Times New Roman"/>
        </w:rPr>
        <w:t>开展数据处理活动应当依照法律、法规的规定，建立健全数据安全管理制度，明确数据收集、存储、传输、使用、加工、提供、公开、删除等全生命周期各环节的管理要求；</w:t>
      </w:r>
    </w:p>
    <w:p w14:paraId="781CA5AC">
      <w:pPr>
        <w:numPr>
          <w:ilvl w:val="0"/>
          <w:numId w:val="43"/>
        </w:numPr>
        <w:adjustRightInd/>
        <w:spacing w:line="240" w:lineRule="auto"/>
        <w:ind w:left="845"/>
        <w:rPr>
          <w:rFonts w:ascii="Times New Roman" w:hAnsi="Times New Roman"/>
        </w:rPr>
      </w:pPr>
      <w:r>
        <w:rPr>
          <w:rFonts w:hint="eastAsia" w:ascii="Times New Roman" w:hAnsi="Times New Roman"/>
        </w:rPr>
        <w:t>应制定数据安全培训计划，定期对从业人员开展数据安全知识和技能培训。</w:t>
      </w:r>
    </w:p>
    <w:p w14:paraId="7E0CBA9B">
      <w:pPr>
        <w:widowControl/>
        <w:adjustRightInd/>
        <w:spacing w:before="156" w:beforeLines="50" w:after="156" w:afterLines="50" w:line="240" w:lineRule="auto"/>
        <w:jc w:val="left"/>
        <w:outlineLvl w:val="1"/>
        <w:rPr>
          <w:rFonts w:ascii="Times New Roman" w:hAnsi="Times New Roman" w:eastAsia="黑体"/>
          <w:kern w:val="0"/>
        </w:rPr>
      </w:pPr>
      <w:bookmarkStart w:id="181" w:name="_Toc11043"/>
      <w:r>
        <w:rPr>
          <w:rFonts w:ascii="Times New Roman" w:hAnsi="Times New Roman" w:eastAsia="黑体"/>
          <w:kern w:val="0"/>
        </w:rPr>
        <w:t>5.</w:t>
      </w:r>
      <w:r>
        <w:rPr>
          <w:rFonts w:hint="eastAsia" w:ascii="Times New Roman" w:hAnsi="Times New Roman" w:eastAsia="黑体"/>
          <w:kern w:val="0"/>
        </w:rPr>
        <w:t>4</w:t>
      </w:r>
      <w:r>
        <w:rPr>
          <w:rFonts w:ascii="Times New Roman" w:hAnsi="Times New Roman" w:eastAsia="黑体"/>
          <w:kern w:val="0"/>
        </w:rPr>
        <w:t xml:space="preserve"> </w:t>
      </w:r>
      <w:r>
        <w:rPr>
          <w:rFonts w:hint="eastAsia" w:ascii="Times New Roman" w:hAnsi="Times New Roman" w:eastAsia="黑体"/>
          <w:kern w:val="0"/>
        </w:rPr>
        <w:t>数据处理安全</w:t>
      </w:r>
      <w:bookmarkEnd w:id="181"/>
    </w:p>
    <w:p w14:paraId="495FC7B7">
      <w:pPr>
        <w:widowControl/>
        <w:numPr>
          <w:ilvl w:val="255"/>
          <w:numId w:val="0"/>
        </w:numPr>
        <w:tabs>
          <w:tab w:val="center" w:pos="4201"/>
          <w:tab w:val="right" w:leader="dot" w:pos="9298"/>
        </w:tabs>
        <w:autoSpaceDE w:val="0"/>
        <w:autoSpaceDN w:val="0"/>
        <w:adjustRightInd/>
        <w:spacing w:line="240" w:lineRule="auto"/>
        <w:ind w:firstLine="420" w:firstLineChars="200"/>
        <w:rPr>
          <w:rFonts w:ascii="Times New Roman" w:hAnsi="Times New Roman"/>
        </w:rPr>
      </w:pPr>
      <w:r>
        <w:rPr>
          <w:rFonts w:hint="eastAsia" w:ascii="Times New Roman" w:hAnsi="Times New Roman"/>
        </w:rPr>
        <w:t>数据处理者应符合以下数据安全保护要求：</w:t>
      </w:r>
    </w:p>
    <w:p w14:paraId="7A7D979C">
      <w:pPr>
        <w:numPr>
          <w:ilvl w:val="0"/>
          <w:numId w:val="44"/>
        </w:numPr>
        <w:adjustRightInd/>
        <w:spacing w:line="240" w:lineRule="auto"/>
        <w:ind w:left="845"/>
        <w:rPr>
          <w:rFonts w:ascii="Times New Roman" w:hAnsi="Times New Roman"/>
        </w:rPr>
      </w:pPr>
      <w:r>
        <w:rPr>
          <w:rFonts w:hint="eastAsia" w:ascii="Times New Roman" w:hAnsi="Times New Roman"/>
        </w:rPr>
        <w:t>收集数据应采取合法、正当的方式，不应窃取或者以其他非法方式获取数据；</w:t>
      </w:r>
    </w:p>
    <w:p w14:paraId="3F2E3D99">
      <w:pPr>
        <w:numPr>
          <w:ilvl w:val="0"/>
          <w:numId w:val="44"/>
        </w:numPr>
        <w:adjustRightInd/>
        <w:spacing w:line="240" w:lineRule="auto"/>
        <w:ind w:left="845"/>
        <w:rPr>
          <w:rFonts w:ascii="Times New Roman" w:hAnsi="Times New Roman"/>
        </w:rPr>
      </w:pPr>
      <w:r>
        <w:rPr>
          <w:rFonts w:hint="eastAsia"/>
        </w:rPr>
        <w:t>法律、行政法规对收集、使用数据的目的、范围有规定的，应在法律、行政法规规定的目的和范围内收集、使用数据；</w:t>
      </w:r>
    </w:p>
    <w:p w14:paraId="6BFDEF38">
      <w:pPr>
        <w:numPr>
          <w:ilvl w:val="0"/>
          <w:numId w:val="44"/>
        </w:numPr>
        <w:adjustRightInd/>
        <w:spacing w:line="240" w:lineRule="auto"/>
        <w:ind w:left="845"/>
      </w:pPr>
      <w:r>
        <w:rPr>
          <w:rFonts w:hint="eastAsia"/>
        </w:rPr>
        <w:t>开展数据处理活动和研究开发数据新技术，应有利于促进经济社会发展，增进人民福祉，符合社会公德和伦理；</w:t>
      </w:r>
    </w:p>
    <w:p w14:paraId="07CF32FB">
      <w:pPr>
        <w:numPr>
          <w:ilvl w:val="0"/>
          <w:numId w:val="44"/>
        </w:numPr>
        <w:adjustRightInd/>
        <w:spacing w:line="240" w:lineRule="auto"/>
        <w:ind w:left="845"/>
        <w:rPr>
          <w:rFonts w:ascii="Times New Roman" w:hAnsi="Times New Roman"/>
        </w:rPr>
      </w:pPr>
      <w:r>
        <w:rPr>
          <w:rFonts w:hint="eastAsia"/>
        </w:rPr>
        <w:t>法律、行政法规规定提供数据处理相关服务应取得行政许可的，服务提供者应依法取得许可；</w:t>
      </w:r>
    </w:p>
    <w:p w14:paraId="32E36F92">
      <w:pPr>
        <w:numPr>
          <w:ilvl w:val="0"/>
          <w:numId w:val="44"/>
        </w:numPr>
        <w:adjustRightInd/>
        <w:spacing w:line="240" w:lineRule="auto"/>
        <w:ind w:left="845"/>
        <w:rPr>
          <w:rFonts w:ascii="Times New Roman" w:hAnsi="Times New Roman"/>
        </w:rPr>
      </w:pPr>
      <w:r>
        <w:rPr>
          <w:rFonts w:hint="eastAsia"/>
        </w:rPr>
        <w:t>开展数据处理活动，应遵守法律、法规，尊重社会公德和伦理，遵守商业道德和职业道德，诚实守信，履行数据安全保护义务，承担社会责任，不应危害国家安全、公共利益，不应损害个人、组织的合法权益；</w:t>
      </w:r>
    </w:p>
    <w:p w14:paraId="5A3C0A35">
      <w:pPr>
        <w:numPr>
          <w:ilvl w:val="0"/>
          <w:numId w:val="44"/>
        </w:numPr>
        <w:adjustRightInd/>
        <w:spacing w:line="240" w:lineRule="auto"/>
        <w:ind w:left="845"/>
        <w:rPr>
          <w:rFonts w:ascii="Times New Roman" w:hAnsi="Times New Roman"/>
        </w:rPr>
      </w:pPr>
      <w:r>
        <w:rPr>
          <w:rFonts w:hint="eastAsia" w:ascii="Times New Roman" w:hAnsi="Times New Roman"/>
        </w:rPr>
        <w:t>利用互联网等信息网络开展数据处理活动的，应在网络安全等级保护制度的基础上，履行相应数据安全保护义务。</w:t>
      </w:r>
    </w:p>
    <w:p w14:paraId="4C6068BF">
      <w:pPr>
        <w:numPr>
          <w:ilvl w:val="255"/>
          <w:numId w:val="0"/>
        </w:numPr>
        <w:adjustRightInd/>
        <w:spacing w:line="240" w:lineRule="auto"/>
        <w:ind w:left="420"/>
        <w:rPr>
          <w:rFonts w:ascii="Times New Roman" w:hAnsi="Times New Roman"/>
        </w:rPr>
      </w:pPr>
    </w:p>
    <w:p w14:paraId="299F4AE5">
      <w:pPr>
        <w:widowControl/>
        <w:adjustRightInd/>
        <w:spacing w:before="156" w:beforeLines="50" w:after="156" w:afterLines="50" w:line="240" w:lineRule="auto"/>
        <w:jc w:val="left"/>
        <w:outlineLvl w:val="1"/>
        <w:rPr>
          <w:rFonts w:ascii="Times New Roman" w:hAnsi="Times New Roman" w:eastAsia="黑体"/>
          <w:kern w:val="0"/>
        </w:rPr>
      </w:pPr>
      <w:bookmarkStart w:id="182" w:name="_Toc16968"/>
      <w:r>
        <w:rPr>
          <w:rFonts w:hint="eastAsia" w:ascii="Times New Roman" w:hAnsi="Times New Roman" w:eastAsia="黑体"/>
          <w:kern w:val="0"/>
        </w:rPr>
        <w:t>5.5 风险监测及应急处置</w:t>
      </w:r>
      <w:bookmarkEnd w:id="182"/>
    </w:p>
    <w:p w14:paraId="5F08EF0F">
      <w:pPr>
        <w:widowControl/>
        <w:numPr>
          <w:ilvl w:val="255"/>
          <w:numId w:val="0"/>
        </w:numPr>
        <w:tabs>
          <w:tab w:val="center" w:pos="4201"/>
          <w:tab w:val="right" w:leader="dot" w:pos="9298"/>
        </w:tabs>
        <w:autoSpaceDE w:val="0"/>
        <w:autoSpaceDN w:val="0"/>
        <w:adjustRightInd/>
        <w:spacing w:line="240" w:lineRule="auto"/>
        <w:ind w:firstLine="420" w:firstLineChars="200"/>
        <w:rPr>
          <w:rFonts w:ascii="Times New Roman" w:hAnsi="Times New Roman"/>
        </w:rPr>
      </w:pPr>
      <w:r>
        <w:rPr>
          <w:rFonts w:hint="eastAsia" w:ascii="Times New Roman" w:hAnsi="Times New Roman"/>
        </w:rPr>
        <w:t>数据处理者应符合以下要求：</w:t>
      </w:r>
    </w:p>
    <w:p w14:paraId="74C7F14E">
      <w:pPr>
        <w:numPr>
          <w:ilvl w:val="0"/>
          <w:numId w:val="45"/>
        </w:numPr>
        <w:adjustRightInd/>
        <w:spacing w:line="240" w:lineRule="auto"/>
        <w:ind w:left="845"/>
        <w:rPr>
          <w:rFonts w:ascii="Times New Roman" w:hAnsi="Times New Roman"/>
        </w:rPr>
      </w:pPr>
      <w:r>
        <w:rPr>
          <w:rFonts w:hint="eastAsia" w:ascii="Times New Roman" w:hAnsi="Times New Roman"/>
        </w:rPr>
        <w:t>开展数据处理活动应加强风险监测，发现数据安全缺陷、漏洞等风险时，应立即采取补救措施；</w:t>
      </w:r>
    </w:p>
    <w:p w14:paraId="35813BE4">
      <w:pPr>
        <w:adjustRightInd/>
        <w:spacing w:line="240" w:lineRule="auto"/>
        <w:ind w:left="796" w:leftChars="200" w:hanging="376" w:hangingChars="209"/>
        <w:rPr>
          <w:rFonts w:ascii="黑体" w:hAnsi="黑体" w:eastAsia="黑体"/>
          <w:sz w:val="18"/>
          <w:lang w:val="de-DE"/>
        </w:rPr>
      </w:pPr>
      <w:r>
        <w:rPr>
          <w:rFonts w:hint="eastAsia" w:ascii="黑体" w:hAnsi="黑体" w:eastAsia="黑体"/>
          <w:sz w:val="18"/>
          <w:lang w:val="de-DE"/>
        </w:rPr>
        <w:t>注：</w:t>
      </w:r>
      <w:r>
        <w:rPr>
          <w:rFonts w:hint="eastAsia" w:ascii="黑体" w:hAnsi="黑体"/>
          <w:sz w:val="18"/>
          <w:lang w:val="de-DE"/>
        </w:rPr>
        <w:t>数据安全风险监测预警可参考有关国家标准开展。</w:t>
      </w:r>
    </w:p>
    <w:p w14:paraId="39E36BBA">
      <w:pPr>
        <w:numPr>
          <w:ilvl w:val="0"/>
          <w:numId w:val="45"/>
        </w:numPr>
        <w:adjustRightInd/>
        <w:spacing w:line="240" w:lineRule="auto"/>
        <w:ind w:left="845"/>
        <w:rPr>
          <w:rFonts w:ascii="Times New Roman" w:hAnsi="Times New Roman"/>
        </w:rPr>
      </w:pPr>
      <w:r>
        <w:rPr>
          <w:rFonts w:hint="eastAsia" w:ascii="Times New Roman" w:hAnsi="Times New Roman"/>
        </w:rPr>
        <w:t>发生数据安全事件时，应当立即采取处置措施，按照规定及时告知用户并向有关主管（监管）部门报告；</w:t>
      </w:r>
    </w:p>
    <w:p w14:paraId="64A88680">
      <w:pPr>
        <w:numPr>
          <w:ilvl w:val="0"/>
          <w:numId w:val="45"/>
        </w:numPr>
        <w:adjustRightInd/>
        <w:spacing w:line="240" w:lineRule="auto"/>
        <w:ind w:left="845"/>
        <w:rPr>
          <w:rFonts w:ascii="Times New Roman" w:hAnsi="Times New Roman"/>
        </w:rPr>
      </w:pPr>
      <w:r>
        <w:rPr>
          <w:rFonts w:hint="eastAsia" w:ascii="Times New Roman" w:hAnsi="Times New Roman"/>
        </w:rPr>
        <w:t>涉及可能危害国家安全、公共利益的风险和事件后，数据处理者应在24小时内向有关主管（监管）部门报告；</w:t>
      </w:r>
    </w:p>
    <w:p w14:paraId="303CC4BA">
      <w:pPr>
        <w:numPr>
          <w:ilvl w:val="0"/>
          <w:numId w:val="45"/>
        </w:numPr>
        <w:adjustRightInd/>
        <w:spacing w:line="240" w:lineRule="auto"/>
        <w:ind w:left="845"/>
        <w:rPr>
          <w:rFonts w:ascii="Times New Roman" w:hAnsi="Times New Roman"/>
        </w:rPr>
      </w:pPr>
      <w:r>
        <w:rPr>
          <w:rFonts w:hint="eastAsia" w:ascii="Times New Roman" w:hAnsi="Times New Roman"/>
        </w:rPr>
        <w:t>风险信息报告应包括风险基本情况、可能产生的危害和程度、风险演化发展态势、可能影响的范围、处置风险的对策建议及其他应当报告的情况；</w:t>
      </w:r>
    </w:p>
    <w:p w14:paraId="2653E073">
      <w:pPr>
        <w:numPr>
          <w:ilvl w:val="0"/>
          <w:numId w:val="45"/>
        </w:numPr>
        <w:adjustRightInd/>
        <w:spacing w:line="240" w:lineRule="auto"/>
        <w:ind w:left="845"/>
        <w:rPr>
          <w:rFonts w:ascii="Times New Roman" w:hAnsi="Times New Roman"/>
        </w:rPr>
      </w:pPr>
      <w:r>
        <w:rPr>
          <w:rFonts w:hint="eastAsia" w:ascii="Times New Roman" w:hAnsi="Times New Roman"/>
        </w:rPr>
        <w:t>事件信息报告应包括事件发生时间、事件简要经过、造成的危害和影响、已采取的措施、下一步对策建议及其他应当报告的情况。</w:t>
      </w:r>
    </w:p>
    <w:p w14:paraId="7AD65D30">
      <w:pPr>
        <w:pStyle w:val="110"/>
        <w:spacing w:before="312" w:after="312"/>
        <w:rPr>
          <w:rFonts w:ascii="Times New Roman"/>
        </w:rPr>
      </w:pPr>
      <w:bookmarkStart w:id="183" w:name="_Toc208244136"/>
      <w:bookmarkEnd w:id="183"/>
      <w:bookmarkStart w:id="184" w:name="_Toc208244202"/>
      <w:bookmarkEnd w:id="184"/>
      <w:bookmarkStart w:id="185" w:name="_Toc208244205"/>
      <w:bookmarkEnd w:id="185"/>
      <w:bookmarkStart w:id="186" w:name="_Toc208244151"/>
      <w:bookmarkEnd w:id="186"/>
      <w:bookmarkStart w:id="187" w:name="_Toc208244144"/>
      <w:bookmarkEnd w:id="187"/>
      <w:bookmarkStart w:id="188" w:name="_Toc208244145"/>
      <w:bookmarkEnd w:id="188"/>
      <w:bookmarkStart w:id="189" w:name="_Toc208244137"/>
      <w:bookmarkEnd w:id="189"/>
      <w:bookmarkStart w:id="190" w:name="_Toc208244142"/>
      <w:bookmarkEnd w:id="190"/>
      <w:bookmarkStart w:id="191" w:name="_Toc208244204"/>
      <w:bookmarkEnd w:id="191"/>
      <w:bookmarkStart w:id="192" w:name="_Toc208244147"/>
      <w:bookmarkEnd w:id="192"/>
      <w:bookmarkStart w:id="193" w:name="_Toc208244218"/>
      <w:bookmarkEnd w:id="193"/>
      <w:bookmarkStart w:id="194" w:name="_Toc208244132"/>
      <w:bookmarkEnd w:id="194"/>
      <w:bookmarkStart w:id="195" w:name="_Toc208244131"/>
      <w:bookmarkEnd w:id="195"/>
      <w:bookmarkStart w:id="196" w:name="_Toc208244206"/>
      <w:bookmarkEnd w:id="196"/>
      <w:bookmarkStart w:id="197" w:name="_Toc208244220"/>
      <w:bookmarkEnd w:id="197"/>
      <w:bookmarkStart w:id="198" w:name="_Toc208244143"/>
      <w:bookmarkEnd w:id="198"/>
      <w:bookmarkStart w:id="199" w:name="_Toc208244212"/>
      <w:bookmarkEnd w:id="199"/>
      <w:bookmarkStart w:id="200" w:name="_Toc208244221"/>
      <w:bookmarkEnd w:id="200"/>
      <w:bookmarkStart w:id="201" w:name="_Toc208244199"/>
      <w:bookmarkEnd w:id="201"/>
      <w:bookmarkStart w:id="202" w:name="_Toc208244200"/>
      <w:bookmarkEnd w:id="202"/>
      <w:bookmarkStart w:id="203" w:name="_Toc208244129"/>
      <w:bookmarkEnd w:id="203"/>
      <w:bookmarkStart w:id="204" w:name="_Toc208244213"/>
      <w:bookmarkEnd w:id="204"/>
      <w:bookmarkStart w:id="205" w:name="_Toc208244127"/>
      <w:bookmarkEnd w:id="205"/>
      <w:bookmarkStart w:id="206" w:name="_Toc208244141"/>
      <w:bookmarkEnd w:id="206"/>
      <w:bookmarkStart w:id="207" w:name="_Toc208244222"/>
      <w:bookmarkEnd w:id="207"/>
      <w:bookmarkStart w:id="208" w:name="_Toc208244203"/>
      <w:bookmarkEnd w:id="208"/>
      <w:bookmarkStart w:id="209" w:name="_Toc208244215"/>
      <w:bookmarkEnd w:id="209"/>
      <w:bookmarkStart w:id="210" w:name="_Toc208244210"/>
      <w:bookmarkEnd w:id="210"/>
      <w:bookmarkStart w:id="211" w:name="_Toc208244150"/>
      <w:bookmarkEnd w:id="211"/>
      <w:bookmarkStart w:id="212" w:name="_Toc208244146"/>
      <w:bookmarkEnd w:id="212"/>
      <w:bookmarkStart w:id="213" w:name="_Toc208244130"/>
      <w:bookmarkEnd w:id="213"/>
      <w:bookmarkStart w:id="214" w:name="_Toc208244149"/>
      <w:bookmarkEnd w:id="214"/>
      <w:bookmarkStart w:id="215" w:name="_Toc208244208"/>
      <w:bookmarkEnd w:id="215"/>
      <w:bookmarkStart w:id="216" w:name="_Toc208244214"/>
      <w:bookmarkEnd w:id="216"/>
      <w:bookmarkStart w:id="217" w:name="_Toc208244134"/>
      <w:bookmarkEnd w:id="217"/>
      <w:bookmarkStart w:id="218" w:name="_Toc208244148"/>
      <w:bookmarkEnd w:id="218"/>
      <w:bookmarkStart w:id="219" w:name="_Toc208244223"/>
      <w:bookmarkEnd w:id="219"/>
      <w:bookmarkStart w:id="220" w:name="_Toc208244139"/>
      <w:bookmarkEnd w:id="220"/>
      <w:bookmarkStart w:id="221" w:name="_Toc208244217"/>
      <w:bookmarkEnd w:id="221"/>
      <w:bookmarkStart w:id="222" w:name="_Toc208244219"/>
      <w:bookmarkEnd w:id="222"/>
      <w:bookmarkStart w:id="223" w:name="_Toc208244135"/>
      <w:bookmarkEnd w:id="223"/>
      <w:bookmarkStart w:id="224" w:name="_Toc208244201"/>
      <w:bookmarkEnd w:id="224"/>
      <w:bookmarkStart w:id="225" w:name="_Toc208244216"/>
      <w:bookmarkEnd w:id="225"/>
      <w:bookmarkStart w:id="226" w:name="_Toc208244138"/>
      <w:bookmarkEnd w:id="226"/>
      <w:bookmarkStart w:id="227" w:name="_Toc208244209"/>
      <w:bookmarkEnd w:id="227"/>
      <w:bookmarkStart w:id="228" w:name="_Toc208244140"/>
      <w:bookmarkEnd w:id="228"/>
      <w:bookmarkStart w:id="229" w:name="_Toc208244128"/>
      <w:bookmarkEnd w:id="229"/>
      <w:bookmarkStart w:id="230" w:name="_Toc208244207"/>
      <w:bookmarkEnd w:id="230"/>
      <w:bookmarkStart w:id="231" w:name="_Toc208244211"/>
      <w:bookmarkEnd w:id="231"/>
      <w:bookmarkStart w:id="232" w:name="_Toc208244133"/>
      <w:bookmarkEnd w:id="232"/>
      <w:bookmarkStart w:id="233" w:name="_Toc149911388"/>
      <w:bookmarkStart w:id="234" w:name="_Toc15646"/>
      <w:r>
        <w:rPr>
          <w:rFonts w:ascii="Times New Roman"/>
        </w:rPr>
        <w:t>重要数据</w:t>
      </w:r>
      <w:r>
        <w:rPr>
          <w:rFonts w:hint="eastAsia" w:ascii="Times New Roman"/>
        </w:rPr>
        <w:t>保护</w:t>
      </w:r>
      <w:r>
        <w:rPr>
          <w:rFonts w:ascii="Times New Roman"/>
        </w:rPr>
        <w:t>要求</w:t>
      </w:r>
      <w:bookmarkEnd w:id="233"/>
      <w:bookmarkEnd w:id="234"/>
    </w:p>
    <w:p w14:paraId="0CC1EA3C">
      <w:pPr>
        <w:widowControl/>
        <w:adjustRightInd/>
        <w:spacing w:before="156" w:beforeLines="50" w:after="156" w:afterLines="50" w:line="240" w:lineRule="auto"/>
        <w:jc w:val="left"/>
        <w:outlineLvl w:val="1"/>
        <w:rPr>
          <w:rFonts w:ascii="Times New Roman" w:hAnsi="Times New Roman" w:eastAsia="黑体"/>
          <w:kern w:val="0"/>
        </w:rPr>
      </w:pPr>
      <w:bookmarkStart w:id="235" w:name="_Toc13821"/>
      <w:bookmarkStart w:id="236" w:name="_Toc149911389"/>
      <w:r>
        <w:rPr>
          <w:rFonts w:ascii="Times New Roman" w:hAnsi="Times New Roman" w:eastAsia="黑体"/>
          <w:kern w:val="0"/>
        </w:rPr>
        <w:t>6.1</w:t>
      </w:r>
      <w:r>
        <w:rPr>
          <w:rFonts w:hint="eastAsia" w:ascii="Times New Roman" w:hAnsi="Times New Roman" w:eastAsia="黑体"/>
          <w:kern w:val="0"/>
        </w:rPr>
        <w:t xml:space="preserve"> 数据安全管理</w:t>
      </w:r>
      <w:bookmarkEnd w:id="235"/>
    </w:p>
    <w:p w14:paraId="0643B394">
      <w:pPr>
        <w:widowControl/>
        <w:numPr>
          <w:ilvl w:val="255"/>
          <w:numId w:val="0"/>
        </w:numPr>
        <w:tabs>
          <w:tab w:val="center" w:pos="4201"/>
          <w:tab w:val="right" w:leader="dot" w:pos="9298"/>
        </w:tabs>
        <w:autoSpaceDE w:val="0"/>
        <w:autoSpaceDN w:val="0"/>
        <w:adjustRightInd/>
        <w:spacing w:line="240" w:lineRule="auto"/>
        <w:ind w:firstLine="420" w:firstLineChars="200"/>
        <w:rPr>
          <w:rFonts w:ascii="Times New Roman" w:hAnsi="Times New Roman"/>
        </w:rPr>
      </w:pPr>
      <w:r>
        <w:rPr>
          <w:rFonts w:hint="eastAsia" w:ascii="Times New Roman" w:hAnsi="Times New Roman"/>
        </w:rPr>
        <w:t>重要数据的处理者应在满足第5章要求的基础上加强数据安全管理，符合以下要求：</w:t>
      </w:r>
    </w:p>
    <w:p w14:paraId="6E4CD595">
      <w:pPr>
        <w:numPr>
          <w:ilvl w:val="0"/>
          <w:numId w:val="46"/>
        </w:numPr>
        <w:tabs>
          <w:tab w:val="left" w:pos="420"/>
          <w:tab w:val="clear" w:pos="840"/>
        </w:tabs>
        <w:adjustRightInd/>
        <w:spacing w:line="240" w:lineRule="auto"/>
        <w:rPr>
          <w:rFonts w:ascii="Times New Roman" w:hAnsi="Times New Roman"/>
        </w:rPr>
      </w:pPr>
      <w:r>
        <w:rPr>
          <w:rFonts w:hint="eastAsia" w:ascii="Times New Roman" w:hAnsi="Times New Roman"/>
        </w:rPr>
        <w:t>应建立数据安全工作体系，加强人员和经费保障，并配合有关监督检查工作；</w:t>
      </w:r>
    </w:p>
    <w:p w14:paraId="14AAA467">
      <w:pPr>
        <w:numPr>
          <w:ilvl w:val="0"/>
          <w:numId w:val="46"/>
        </w:numPr>
        <w:tabs>
          <w:tab w:val="left" w:pos="420"/>
          <w:tab w:val="clear" w:pos="840"/>
        </w:tabs>
        <w:adjustRightInd/>
        <w:spacing w:line="240" w:lineRule="auto"/>
        <w:rPr>
          <w:rFonts w:ascii="Times New Roman" w:hAnsi="Times New Roman"/>
        </w:rPr>
      </w:pPr>
      <w:r>
        <w:rPr>
          <w:rFonts w:hint="eastAsia" w:ascii="Times New Roman" w:hAnsi="Times New Roman"/>
        </w:rPr>
        <w:t>应明确数据安全负责人和管理机构，落实数据安全保护责任，数据安全负责人应具备数据安全专业知识和相关管理工作经历；</w:t>
      </w:r>
    </w:p>
    <w:p w14:paraId="7171ACDA">
      <w:pPr>
        <w:numPr>
          <w:ilvl w:val="0"/>
          <w:numId w:val="46"/>
        </w:numPr>
        <w:tabs>
          <w:tab w:val="left" w:pos="420"/>
          <w:tab w:val="clear" w:pos="840"/>
        </w:tabs>
        <w:adjustRightInd/>
        <w:spacing w:line="240" w:lineRule="auto"/>
        <w:rPr>
          <w:rFonts w:ascii="Times New Roman" w:hAnsi="Times New Roman"/>
        </w:rPr>
      </w:pPr>
      <w:r>
        <w:rPr>
          <w:rFonts w:hint="eastAsia" w:ascii="Times New Roman" w:hAnsi="Times New Roman"/>
        </w:rPr>
        <w:t>数据安全管理机构，应履行下列数据安全保护责任：</w:t>
      </w:r>
    </w:p>
    <w:p w14:paraId="31011232">
      <w:pPr>
        <w:pStyle w:val="27"/>
        <w:widowControl/>
        <w:numPr>
          <w:ilvl w:val="0"/>
          <w:numId w:val="47"/>
        </w:numPr>
        <w:spacing w:beforeAutospacing="0" w:afterAutospacing="0"/>
        <w:rPr>
          <w:sz w:val="21"/>
          <w:szCs w:val="21"/>
        </w:rPr>
      </w:pPr>
      <w:r>
        <w:rPr>
          <w:sz w:val="21"/>
          <w:szCs w:val="21"/>
        </w:rPr>
        <w:t>制定实施数据安全管理制度、操作规程和网络数据安全事件应急预案；</w:t>
      </w:r>
    </w:p>
    <w:p w14:paraId="1123CA54">
      <w:pPr>
        <w:pStyle w:val="27"/>
        <w:widowControl/>
        <w:numPr>
          <w:ilvl w:val="0"/>
          <w:numId w:val="47"/>
        </w:numPr>
        <w:spacing w:beforeAutospacing="0" w:afterAutospacing="0"/>
        <w:rPr>
          <w:sz w:val="21"/>
          <w:szCs w:val="21"/>
        </w:rPr>
      </w:pPr>
      <w:r>
        <w:rPr>
          <w:sz w:val="21"/>
          <w:szCs w:val="21"/>
        </w:rPr>
        <w:t>定期组织开展数据安全风险监测、风险评估、应急演练、宣传教育培训等活动，及时处置数据安全风险和事件；</w:t>
      </w:r>
    </w:p>
    <w:p w14:paraId="2515BAE7">
      <w:pPr>
        <w:pStyle w:val="27"/>
        <w:widowControl/>
        <w:numPr>
          <w:ilvl w:val="0"/>
          <w:numId w:val="47"/>
        </w:numPr>
        <w:spacing w:beforeAutospacing="0" w:afterAutospacing="0"/>
        <w:rPr>
          <w:sz w:val="21"/>
          <w:szCs w:val="21"/>
        </w:rPr>
      </w:pPr>
      <w:r>
        <w:rPr>
          <w:sz w:val="21"/>
          <w:szCs w:val="21"/>
        </w:rPr>
        <w:t>受理并处理数据安全投诉、举报。</w:t>
      </w:r>
    </w:p>
    <w:p w14:paraId="4DB00735">
      <w:pPr>
        <w:widowControl/>
        <w:adjustRightInd/>
        <w:spacing w:before="156" w:beforeLines="50" w:after="156" w:afterLines="50" w:line="240" w:lineRule="auto"/>
        <w:jc w:val="left"/>
        <w:outlineLvl w:val="1"/>
        <w:rPr>
          <w:rFonts w:ascii="Times New Roman" w:hAnsi="Times New Roman" w:eastAsia="黑体"/>
          <w:kern w:val="0"/>
        </w:rPr>
      </w:pPr>
      <w:bookmarkStart w:id="237" w:name="_Toc20652"/>
      <w:r>
        <w:rPr>
          <w:rFonts w:ascii="Times New Roman" w:hAnsi="Times New Roman" w:eastAsia="黑体"/>
          <w:kern w:val="0"/>
        </w:rPr>
        <w:t>6.</w:t>
      </w:r>
      <w:r>
        <w:rPr>
          <w:rFonts w:hint="eastAsia" w:ascii="Times New Roman" w:hAnsi="Times New Roman" w:eastAsia="黑体"/>
          <w:kern w:val="0"/>
        </w:rPr>
        <w:t xml:space="preserve">2 </w:t>
      </w:r>
      <w:bookmarkEnd w:id="236"/>
      <w:r>
        <w:rPr>
          <w:rFonts w:hint="eastAsia" w:ascii="Times New Roman" w:hAnsi="Times New Roman" w:eastAsia="黑体"/>
          <w:kern w:val="0"/>
        </w:rPr>
        <w:t>数据全生命周期防护</w:t>
      </w:r>
      <w:bookmarkEnd w:id="237"/>
    </w:p>
    <w:p w14:paraId="75116D8B">
      <w:pPr>
        <w:widowControl/>
        <w:numPr>
          <w:ilvl w:val="255"/>
          <w:numId w:val="0"/>
        </w:numPr>
        <w:tabs>
          <w:tab w:val="center" w:pos="4201"/>
          <w:tab w:val="right" w:leader="dot" w:pos="9298"/>
        </w:tabs>
        <w:autoSpaceDE w:val="0"/>
        <w:autoSpaceDN w:val="0"/>
        <w:adjustRightInd/>
        <w:spacing w:line="240" w:lineRule="auto"/>
        <w:ind w:firstLine="420" w:firstLineChars="200"/>
        <w:rPr>
          <w:rFonts w:ascii="Times New Roman" w:hAnsi="Times New Roman"/>
        </w:rPr>
      </w:pPr>
      <w:r>
        <w:rPr>
          <w:rFonts w:hint="eastAsia" w:ascii="Times New Roman" w:hAnsi="Times New Roman"/>
        </w:rPr>
        <w:t>重要数据的处理者应加强数据全生命周期安全防护，符合以下要求：</w:t>
      </w:r>
    </w:p>
    <w:p w14:paraId="38A45FEA">
      <w:pPr>
        <w:numPr>
          <w:ilvl w:val="0"/>
          <w:numId w:val="48"/>
        </w:numPr>
        <w:tabs>
          <w:tab w:val="left" w:pos="420"/>
          <w:tab w:val="clear" w:pos="840"/>
        </w:tabs>
        <w:spacing w:line="240" w:lineRule="auto"/>
        <w:rPr>
          <w:rFonts w:ascii="Times New Roman" w:hAnsi="Times New Roman"/>
        </w:rPr>
      </w:pPr>
      <w:r>
        <w:rPr>
          <w:rFonts w:hint="eastAsia" w:ascii="Times New Roman" w:hAnsi="Times New Roman"/>
        </w:rPr>
        <w:t>应在重要数据的收集、存储、使用、加工、传输、提供、公开、删除等环节，综合运用加密、鉴权、认证、脱敏、校验、审计等技术手段进行安全保护；</w:t>
      </w:r>
    </w:p>
    <w:p w14:paraId="15005593">
      <w:pPr>
        <w:numPr>
          <w:ilvl w:val="0"/>
          <w:numId w:val="48"/>
        </w:numPr>
        <w:tabs>
          <w:tab w:val="left" w:pos="420"/>
          <w:tab w:val="clear" w:pos="840"/>
        </w:tabs>
        <w:adjustRightInd/>
        <w:spacing w:line="240" w:lineRule="auto"/>
        <w:rPr>
          <w:rFonts w:ascii="Times New Roman" w:hAnsi="Times New Roman"/>
        </w:rPr>
      </w:pPr>
      <w:r>
        <w:rPr>
          <w:rFonts w:hint="eastAsia" w:ascii="Times New Roman" w:hAnsi="Times New Roman"/>
        </w:rPr>
        <w:t>应按照业务需要和最小授权原则，依据岗位职责设定数据处理权限，控制重要数据接触范围，发生人员变动时及时调整权限；</w:t>
      </w:r>
    </w:p>
    <w:p w14:paraId="48DF9968">
      <w:pPr>
        <w:numPr>
          <w:ilvl w:val="0"/>
          <w:numId w:val="48"/>
        </w:numPr>
        <w:tabs>
          <w:tab w:val="left" w:pos="420"/>
          <w:tab w:val="clear" w:pos="840"/>
        </w:tabs>
        <w:adjustRightInd/>
        <w:spacing w:line="240" w:lineRule="auto"/>
        <w:rPr>
          <w:rFonts w:ascii="Times New Roman" w:hAnsi="Times New Roman"/>
        </w:rPr>
      </w:pPr>
      <w:r>
        <w:rPr>
          <w:rFonts w:hint="eastAsia" w:ascii="Times New Roman" w:hAnsi="Times New Roman"/>
        </w:rPr>
        <w:t>存储和处理重要数据的信息系统，应落实网络安全等级保护三级及以上保护要求；</w:t>
      </w:r>
    </w:p>
    <w:p w14:paraId="450CFCAE">
      <w:pPr>
        <w:numPr>
          <w:ilvl w:val="0"/>
          <w:numId w:val="48"/>
        </w:numPr>
        <w:tabs>
          <w:tab w:val="left" w:pos="420"/>
          <w:tab w:val="clear" w:pos="840"/>
        </w:tabs>
        <w:adjustRightInd/>
        <w:spacing w:line="240" w:lineRule="auto"/>
        <w:rPr>
          <w:rFonts w:ascii="Times New Roman" w:hAnsi="Times New Roman"/>
        </w:rPr>
      </w:pPr>
      <w:r>
        <w:rPr>
          <w:rFonts w:hint="eastAsia" w:ascii="Times New Roman" w:hAnsi="Times New Roman"/>
        </w:rPr>
        <w:t>应落实密码保护和保密等制度要求，法律法规和国家有关规定要求使用商用密码进行保护的，还应遵守商用密码保护有关规定；</w:t>
      </w:r>
    </w:p>
    <w:p w14:paraId="1E466725">
      <w:pPr>
        <w:numPr>
          <w:ilvl w:val="0"/>
          <w:numId w:val="48"/>
        </w:numPr>
        <w:tabs>
          <w:tab w:val="left" w:pos="420"/>
          <w:tab w:val="clear" w:pos="840"/>
        </w:tabs>
        <w:adjustRightInd/>
        <w:spacing w:line="240" w:lineRule="auto"/>
        <w:rPr>
          <w:rFonts w:ascii="Times New Roman" w:hAnsi="Times New Roman"/>
        </w:rPr>
      </w:pPr>
      <w:r>
        <w:rPr>
          <w:rFonts w:hint="eastAsia" w:ascii="Times New Roman" w:hAnsi="Times New Roman"/>
        </w:rPr>
        <w:t>数据汇聚、关联后属于国家秘密事项的，应当符合国家保密规定。</w:t>
      </w:r>
    </w:p>
    <w:p w14:paraId="0DEFB84F">
      <w:pPr>
        <w:widowControl/>
        <w:adjustRightInd/>
        <w:spacing w:before="156" w:beforeLines="50" w:after="156" w:afterLines="50" w:line="240" w:lineRule="auto"/>
        <w:jc w:val="left"/>
        <w:outlineLvl w:val="1"/>
        <w:rPr>
          <w:rFonts w:ascii="Times New Roman" w:hAnsi="Times New Roman" w:eastAsia="黑体"/>
          <w:kern w:val="0"/>
        </w:rPr>
      </w:pPr>
      <w:bookmarkStart w:id="238" w:name="_Toc27757"/>
      <w:r>
        <w:rPr>
          <w:rFonts w:hint="eastAsia"/>
        </w:rPr>
        <w:t>6</w:t>
      </w:r>
      <w:r>
        <w:rPr>
          <w:rFonts w:hint="eastAsia" w:ascii="Times New Roman" w:hAnsi="Times New Roman" w:eastAsia="黑体"/>
          <w:kern w:val="0"/>
        </w:rPr>
        <w:t>.3 数据安全风险评估</w:t>
      </w:r>
      <w:bookmarkEnd w:id="238"/>
    </w:p>
    <w:p w14:paraId="407E5536">
      <w:pPr>
        <w:widowControl/>
        <w:numPr>
          <w:ilvl w:val="255"/>
          <w:numId w:val="0"/>
        </w:numPr>
        <w:tabs>
          <w:tab w:val="center" w:pos="4201"/>
          <w:tab w:val="right" w:leader="dot" w:pos="9298"/>
        </w:tabs>
        <w:autoSpaceDE w:val="0"/>
        <w:autoSpaceDN w:val="0"/>
        <w:adjustRightInd/>
        <w:spacing w:line="240" w:lineRule="auto"/>
        <w:ind w:firstLine="420" w:firstLineChars="200"/>
        <w:rPr>
          <w:rFonts w:ascii="Times New Roman" w:hAnsi="Times New Roman"/>
        </w:rPr>
      </w:pPr>
      <w:r>
        <w:rPr>
          <w:rFonts w:hint="eastAsia" w:ascii="Times New Roman" w:hAnsi="Times New Roman"/>
        </w:rPr>
        <w:t>重要数据的处理者应开展数据安全风险评估，符合以下要求：</w:t>
      </w:r>
    </w:p>
    <w:p w14:paraId="4997E065">
      <w:pPr>
        <w:numPr>
          <w:ilvl w:val="0"/>
          <w:numId w:val="49"/>
        </w:numPr>
        <w:adjustRightInd/>
        <w:spacing w:line="240" w:lineRule="auto"/>
        <w:ind w:left="845"/>
        <w:rPr>
          <w:rFonts w:ascii="Times New Roman" w:hAnsi="Times New Roman"/>
        </w:rPr>
      </w:pPr>
      <w:r>
        <w:rPr>
          <w:rFonts w:hint="eastAsia" w:ascii="Times New Roman" w:hAnsi="Times New Roman"/>
        </w:rPr>
        <w:t>应每年自行或者委托第三方评估机构，对其数据处理活动至少开展一次风险评估，及时整改风险问题，并向有关主管（监管）部门报送风险评估报告；</w:t>
      </w:r>
    </w:p>
    <w:p w14:paraId="62884C1F">
      <w:pPr>
        <w:adjustRightInd/>
        <w:spacing w:line="240" w:lineRule="auto"/>
        <w:ind w:left="796" w:leftChars="200" w:hanging="376" w:hangingChars="209"/>
        <w:rPr>
          <w:rFonts w:ascii="Times New Roman" w:hAnsi="Times New Roman"/>
          <w:sz w:val="18"/>
          <w:lang w:val="de-DE"/>
        </w:rPr>
      </w:pPr>
      <w:r>
        <w:rPr>
          <w:rFonts w:hint="eastAsia" w:ascii="Times New Roman" w:hAnsi="Times New Roman" w:eastAsia="黑体"/>
          <w:sz w:val="18"/>
          <w:lang w:val="de-DE"/>
        </w:rPr>
        <w:t>注：</w:t>
      </w:r>
      <w:r>
        <w:rPr>
          <w:rFonts w:hint="eastAsia" w:ascii="Times New Roman" w:hAnsi="Times New Roman"/>
          <w:sz w:val="18"/>
          <w:lang w:val="de-DE"/>
        </w:rPr>
        <w:t>数据安全风险评估可参考有关国家标准。</w:t>
      </w:r>
    </w:p>
    <w:p w14:paraId="21DD1B67">
      <w:pPr>
        <w:numPr>
          <w:ilvl w:val="0"/>
          <w:numId w:val="49"/>
        </w:numPr>
        <w:adjustRightInd/>
        <w:spacing w:line="240" w:lineRule="auto"/>
        <w:ind w:left="845"/>
        <w:rPr>
          <w:rFonts w:ascii="Times New Roman" w:hAnsi="Times New Roman"/>
        </w:rPr>
      </w:pPr>
      <w:r>
        <w:rPr>
          <w:rFonts w:hint="eastAsia" w:ascii="Times New Roman" w:hAnsi="Times New Roman"/>
        </w:rPr>
        <w:t>风险评估报告应包括处理的数据的种类、数量，开展数据处理活动的情况，面临的数据安全风险及其应对措施等；</w:t>
      </w:r>
    </w:p>
    <w:p w14:paraId="3A71059A">
      <w:pPr>
        <w:numPr>
          <w:ilvl w:val="0"/>
          <w:numId w:val="49"/>
        </w:numPr>
        <w:adjustRightInd/>
        <w:spacing w:line="240" w:lineRule="auto"/>
        <w:ind w:left="845"/>
        <w:rPr>
          <w:rFonts w:ascii="Times New Roman" w:hAnsi="Times New Roman"/>
        </w:rPr>
      </w:pPr>
      <w:r>
        <w:rPr>
          <w:rFonts w:hint="eastAsia" w:ascii="Times New Roman" w:hAnsi="Times New Roman"/>
        </w:rPr>
        <w:t>提供、委托处理、共同处理重要数据前，应进行风险评估，但是属于履行法定职责或者法定义务的除外；</w:t>
      </w:r>
    </w:p>
    <w:p w14:paraId="1CF0ADDA">
      <w:pPr>
        <w:numPr>
          <w:ilvl w:val="0"/>
          <w:numId w:val="49"/>
        </w:numPr>
        <w:adjustRightInd/>
        <w:spacing w:line="240" w:lineRule="auto"/>
        <w:ind w:left="845"/>
        <w:rPr>
          <w:rFonts w:ascii="Times New Roman" w:hAnsi="Times New Roman"/>
        </w:rPr>
      </w:pPr>
      <w:r>
        <w:rPr>
          <w:rFonts w:hint="eastAsia" w:ascii="Times New Roman" w:hAnsi="Times New Roman"/>
        </w:rPr>
        <w:t>在开展数据安全风险评估时，对其数据查询、下载、修改、删除等重点操作的日志开展审计分析，对违规或者异常行为采取相应的处置措施；</w:t>
      </w:r>
    </w:p>
    <w:p w14:paraId="584A53EB">
      <w:pPr>
        <w:numPr>
          <w:ilvl w:val="0"/>
          <w:numId w:val="49"/>
        </w:numPr>
        <w:adjustRightInd/>
        <w:spacing w:line="240" w:lineRule="auto"/>
        <w:ind w:left="845"/>
        <w:rPr>
          <w:rFonts w:ascii="Times New Roman" w:hAnsi="Times New Roman"/>
        </w:rPr>
      </w:pPr>
      <w:r>
        <w:rPr>
          <w:rFonts w:hint="eastAsia" w:ascii="Times New Roman" w:hAnsi="Times New Roman"/>
        </w:rPr>
        <w:t>经评估发现存在可能危害国家安全的数据处理活动的，重要数据的处理者应按照有关要求立即采取整改或停止处理重要数据等措施。</w:t>
      </w:r>
    </w:p>
    <w:p w14:paraId="36824267">
      <w:pPr>
        <w:widowControl/>
        <w:adjustRightInd/>
        <w:spacing w:before="156" w:beforeLines="50" w:after="156" w:afterLines="50" w:line="240" w:lineRule="auto"/>
        <w:jc w:val="left"/>
        <w:outlineLvl w:val="1"/>
        <w:rPr>
          <w:rFonts w:ascii="Times New Roman" w:hAnsi="Times New Roman" w:eastAsia="黑体"/>
          <w:kern w:val="0"/>
        </w:rPr>
      </w:pPr>
      <w:bookmarkStart w:id="239" w:name="_Toc8879"/>
      <w:bookmarkStart w:id="240" w:name="_Toc149911392"/>
      <w:r>
        <w:rPr>
          <w:rFonts w:ascii="Times New Roman" w:hAnsi="Times New Roman" w:eastAsia="黑体"/>
          <w:kern w:val="0"/>
        </w:rPr>
        <w:t>6.</w:t>
      </w:r>
      <w:r>
        <w:rPr>
          <w:rFonts w:hint="eastAsia" w:ascii="Times New Roman" w:hAnsi="Times New Roman" w:eastAsia="黑体"/>
          <w:kern w:val="0"/>
        </w:rPr>
        <w:t>4</w:t>
      </w:r>
      <w:r>
        <w:rPr>
          <w:rFonts w:ascii="Times New Roman" w:hAnsi="Times New Roman" w:eastAsia="黑体"/>
          <w:kern w:val="0"/>
        </w:rPr>
        <w:t xml:space="preserve"> </w:t>
      </w:r>
      <w:r>
        <w:rPr>
          <w:rFonts w:hint="eastAsia" w:ascii="Times New Roman" w:hAnsi="Times New Roman" w:eastAsia="黑体"/>
          <w:kern w:val="0"/>
        </w:rPr>
        <w:t>数据共享调用</w:t>
      </w:r>
      <w:bookmarkEnd w:id="239"/>
    </w:p>
    <w:p w14:paraId="3E3A2FB3">
      <w:pPr>
        <w:pStyle w:val="242"/>
      </w:pPr>
      <w:r>
        <w:rPr>
          <w:rFonts w:hint="eastAsia"/>
        </w:rPr>
        <w:t>重要数据的处理者应对数据共享调用进行安全管控，符合以下要求：</w:t>
      </w:r>
    </w:p>
    <w:p w14:paraId="5944CE67">
      <w:pPr>
        <w:numPr>
          <w:ilvl w:val="0"/>
          <w:numId w:val="50"/>
        </w:numPr>
        <w:adjustRightInd/>
        <w:spacing w:line="240" w:lineRule="auto"/>
        <w:ind w:left="845"/>
        <w:rPr>
          <w:rFonts w:ascii="Times New Roman" w:hAnsi="Times New Roman"/>
        </w:rPr>
      </w:pPr>
      <w:r>
        <w:rPr>
          <w:rFonts w:hint="eastAsia" w:ascii="Times New Roman" w:hAnsi="Times New Roman"/>
        </w:rPr>
        <w:t>加强对数据共享、调用的安全管控，采取技术措施定期监测数据共享、调用情况；</w:t>
      </w:r>
    </w:p>
    <w:p w14:paraId="3FAF203B">
      <w:pPr>
        <w:numPr>
          <w:ilvl w:val="0"/>
          <w:numId w:val="50"/>
        </w:numPr>
        <w:adjustRightInd/>
        <w:spacing w:line="240" w:lineRule="auto"/>
        <w:ind w:left="845"/>
        <w:rPr>
          <w:rFonts w:ascii="Times New Roman" w:hAnsi="Times New Roman"/>
        </w:rPr>
      </w:pPr>
      <w:r>
        <w:rPr>
          <w:rFonts w:hint="eastAsia" w:ascii="Times New Roman" w:hAnsi="Times New Roman"/>
        </w:rPr>
        <w:t>配备风险隔离、认证鉴权、威胁告警等安全保护措施。</w:t>
      </w:r>
    </w:p>
    <w:p w14:paraId="3C7456F8">
      <w:pPr>
        <w:widowControl/>
        <w:adjustRightInd/>
        <w:spacing w:before="156" w:beforeLines="50" w:after="156" w:afterLines="50" w:line="240" w:lineRule="auto"/>
        <w:jc w:val="left"/>
        <w:outlineLvl w:val="1"/>
        <w:rPr>
          <w:rFonts w:ascii="Times New Roman" w:hAnsi="Times New Roman" w:eastAsia="黑体"/>
          <w:kern w:val="0"/>
        </w:rPr>
      </w:pPr>
      <w:bookmarkStart w:id="241" w:name="_Toc15498"/>
      <w:r>
        <w:rPr>
          <w:rFonts w:ascii="Times New Roman" w:hAnsi="Times New Roman" w:eastAsia="黑体"/>
          <w:kern w:val="0"/>
        </w:rPr>
        <w:t>6.</w:t>
      </w:r>
      <w:r>
        <w:rPr>
          <w:rFonts w:hint="eastAsia" w:ascii="Times New Roman" w:hAnsi="Times New Roman" w:eastAsia="黑体"/>
          <w:kern w:val="0"/>
        </w:rPr>
        <w:t>5</w:t>
      </w:r>
      <w:r>
        <w:rPr>
          <w:rFonts w:ascii="Times New Roman" w:hAnsi="Times New Roman" w:eastAsia="黑体"/>
          <w:kern w:val="0"/>
        </w:rPr>
        <w:t xml:space="preserve"> </w:t>
      </w:r>
      <w:r>
        <w:rPr>
          <w:rFonts w:hint="eastAsia" w:ascii="Times New Roman" w:hAnsi="Times New Roman" w:eastAsia="黑体"/>
          <w:kern w:val="0"/>
        </w:rPr>
        <w:t>数据委托处理</w:t>
      </w:r>
      <w:bookmarkEnd w:id="241"/>
    </w:p>
    <w:p w14:paraId="56393246">
      <w:pPr>
        <w:pStyle w:val="242"/>
      </w:pPr>
      <w:r>
        <w:rPr>
          <w:rFonts w:hint="eastAsia"/>
        </w:rPr>
        <w:t>重要数据的处理者应加强数据委托处理安全管理，符合以下要求：</w:t>
      </w:r>
    </w:p>
    <w:p w14:paraId="6B4A7A86">
      <w:pPr>
        <w:numPr>
          <w:ilvl w:val="0"/>
          <w:numId w:val="51"/>
        </w:numPr>
        <w:adjustRightInd/>
        <w:spacing w:line="240" w:lineRule="auto"/>
        <w:ind w:left="845"/>
      </w:pPr>
      <w:r>
        <w:rPr>
          <w:rFonts w:hint="eastAsia" w:ascii="Times New Roman" w:hAnsi="Times New Roman"/>
        </w:rPr>
        <w:t>在委托他人处理或者与他人共同处理重要数据时，严格审批并明确受托方的数据处理权限和保护责任，监督受托方履行数据安全保护义务；</w:t>
      </w:r>
    </w:p>
    <w:p w14:paraId="234B5161">
      <w:pPr>
        <w:numPr>
          <w:ilvl w:val="0"/>
          <w:numId w:val="51"/>
        </w:numPr>
        <w:adjustRightInd/>
        <w:spacing w:line="240" w:lineRule="auto"/>
        <w:ind w:left="845"/>
        <w:rPr>
          <w:rFonts w:ascii="Times New Roman" w:hAnsi="Times New Roman"/>
        </w:rPr>
      </w:pPr>
      <w:r>
        <w:rPr>
          <w:rFonts w:hint="eastAsia" w:ascii="Times New Roman" w:hAnsi="Times New Roman"/>
        </w:rPr>
        <w:t>涉及使用云计算服务处理重要数据的，可选择通过云计算服务安全评估的云计算服务，并遵守本文件有关要求。</w:t>
      </w:r>
    </w:p>
    <w:p w14:paraId="1B7DC2E4">
      <w:pPr>
        <w:widowControl/>
        <w:adjustRightInd/>
        <w:spacing w:before="156" w:beforeLines="50" w:after="156" w:afterLines="50" w:line="240" w:lineRule="auto"/>
        <w:jc w:val="left"/>
        <w:outlineLvl w:val="1"/>
        <w:rPr>
          <w:rFonts w:ascii="Times New Roman" w:hAnsi="Times New Roman" w:eastAsia="黑体"/>
          <w:kern w:val="0"/>
        </w:rPr>
      </w:pPr>
      <w:bookmarkStart w:id="242" w:name="_Toc28036"/>
      <w:r>
        <w:rPr>
          <w:rFonts w:ascii="Times New Roman" w:hAnsi="Times New Roman" w:eastAsia="黑体"/>
          <w:kern w:val="0"/>
        </w:rPr>
        <w:t>6.</w:t>
      </w:r>
      <w:r>
        <w:rPr>
          <w:rFonts w:hint="eastAsia" w:ascii="Times New Roman" w:hAnsi="Times New Roman" w:eastAsia="黑体"/>
          <w:kern w:val="0"/>
        </w:rPr>
        <w:t>6</w:t>
      </w:r>
      <w:r>
        <w:rPr>
          <w:rFonts w:ascii="Times New Roman" w:hAnsi="Times New Roman" w:eastAsia="黑体"/>
          <w:kern w:val="0"/>
        </w:rPr>
        <w:t xml:space="preserve"> </w:t>
      </w:r>
      <w:r>
        <w:rPr>
          <w:rFonts w:hint="eastAsia" w:ascii="Times New Roman" w:hAnsi="Times New Roman" w:eastAsia="黑体"/>
          <w:kern w:val="0"/>
        </w:rPr>
        <w:t>信息系统建设管理</w:t>
      </w:r>
      <w:bookmarkEnd w:id="242"/>
    </w:p>
    <w:p w14:paraId="42AA77B3">
      <w:pPr>
        <w:pStyle w:val="242"/>
      </w:pPr>
      <w:r>
        <w:rPr>
          <w:rFonts w:hint="eastAsia"/>
        </w:rPr>
        <w:t>重要数据的处理者委托第三方开展信息系统建设、运行或维护的，应符合以下要求：</w:t>
      </w:r>
    </w:p>
    <w:p w14:paraId="20BEE3D3">
      <w:pPr>
        <w:numPr>
          <w:ilvl w:val="0"/>
          <w:numId w:val="52"/>
        </w:numPr>
        <w:adjustRightInd/>
        <w:spacing w:line="240" w:lineRule="auto"/>
        <w:ind w:left="845"/>
        <w:rPr>
          <w:rFonts w:ascii="Times New Roman" w:hAnsi="Times New Roman"/>
        </w:rPr>
      </w:pPr>
      <w:r>
        <w:rPr>
          <w:rFonts w:hint="eastAsia" w:ascii="Times New Roman" w:hAnsi="Times New Roman"/>
        </w:rPr>
        <w:t>未经委托方批准时，涉及重要数据信息系统建设、运维项目不转包、不分包；</w:t>
      </w:r>
    </w:p>
    <w:p w14:paraId="5636C84E">
      <w:pPr>
        <w:numPr>
          <w:ilvl w:val="0"/>
          <w:numId w:val="52"/>
        </w:numPr>
        <w:adjustRightInd/>
        <w:spacing w:line="240" w:lineRule="auto"/>
        <w:ind w:left="845"/>
        <w:rPr>
          <w:rFonts w:ascii="Times New Roman" w:hAnsi="Times New Roman"/>
        </w:rPr>
      </w:pPr>
      <w:r>
        <w:rPr>
          <w:rFonts w:hint="eastAsia" w:ascii="Times New Roman" w:hAnsi="Times New Roman"/>
        </w:rPr>
        <w:t>未经委托方明确授权时，涉及重要数据信息系统建设、运维人员不处理委托方的重要数据；</w:t>
      </w:r>
    </w:p>
    <w:p w14:paraId="0EAF2A16">
      <w:pPr>
        <w:numPr>
          <w:ilvl w:val="0"/>
          <w:numId w:val="52"/>
        </w:numPr>
        <w:adjustRightInd/>
        <w:spacing w:line="240" w:lineRule="auto"/>
        <w:ind w:left="845"/>
        <w:rPr>
          <w:rFonts w:ascii="Times New Roman" w:hAnsi="Times New Roman"/>
        </w:rPr>
      </w:pPr>
      <w:r>
        <w:rPr>
          <w:rFonts w:hint="eastAsia" w:ascii="Times New Roman" w:hAnsi="Times New Roman"/>
        </w:rPr>
        <w:t>涉及重要数据信息系统建设、运维过程中收集、产生的数据，不用于其他用途，服务完成后按照与委托方约定处理或者及时删除；</w:t>
      </w:r>
    </w:p>
    <w:p w14:paraId="70EE47FC">
      <w:pPr>
        <w:numPr>
          <w:ilvl w:val="0"/>
          <w:numId w:val="52"/>
        </w:numPr>
        <w:adjustRightInd/>
        <w:spacing w:line="240" w:lineRule="auto"/>
        <w:ind w:left="845"/>
        <w:rPr>
          <w:rFonts w:ascii="Times New Roman" w:hAnsi="Times New Roman"/>
        </w:rPr>
      </w:pPr>
      <w:r>
        <w:rPr>
          <w:rFonts w:ascii="Times New Roman" w:hAnsi="Times New Roman"/>
        </w:rPr>
        <w:t>未经委托方同意，不</w:t>
      </w:r>
      <w:r>
        <w:rPr>
          <w:rFonts w:hint="eastAsia" w:ascii="Times New Roman" w:hAnsi="Times New Roman"/>
        </w:rPr>
        <w:t>应</w:t>
      </w:r>
      <w:r>
        <w:rPr>
          <w:rFonts w:ascii="Times New Roman" w:hAnsi="Times New Roman"/>
        </w:rPr>
        <w:t>访问、获取、留存、使用、泄露或者向他人提供数据，不</w:t>
      </w:r>
      <w:r>
        <w:rPr>
          <w:rFonts w:hint="eastAsia" w:ascii="Times New Roman" w:hAnsi="Times New Roman"/>
        </w:rPr>
        <w:t>应</w:t>
      </w:r>
      <w:r>
        <w:rPr>
          <w:rFonts w:ascii="Times New Roman" w:hAnsi="Times New Roman"/>
        </w:rPr>
        <w:t>对数据进行关联分析。</w:t>
      </w:r>
    </w:p>
    <w:p w14:paraId="004C7F05">
      <w:pPr>
        <w:widowControl/>
        <w:adjustRightInd/>
        <w:spacing w:before="156" w:beforeLines="50" w:after="156" w:afterLines="50" w:line="240" w:lineRule="auto"/>
        <w:jc w:val="left"/>
        <w:outlineLvl w:val="1"/>
        <w:rPr>
          <w:rFonts w:ascii="Times New Roman" w:hAnsi="Times New Roman" w:eastAsia="黑体"/>
          <w:kern w:val="0"/>
        </w:rPr>
      </w:pPr>
      <w:bookmarkStart w:id="243" w:name="_Toc427"/>
      <w:r>
        <w:rPr>
          <w:rFonts w:ascii="Times New Roman" w:hAnsi="Times New Roman" w:eastAsia="黑体"/>
          <w:kern w:val="0"/>
        </w:rPr>
        <w:t>6.</w:t>
      </w:r>
      <w:r>
        <w:rPr>
          <w:rFonts w:hint="eastAsia" w:ascii="Times New Roman" w:hAnsi="Times New Roman" w:eastAsia="黑体"/>
          <w:kern w:val="0"/>
        </w:rPr>
        <w:t>7</w:t>
      </w:r>
      <w:r>
        <w:rPr>
          <w:rFonts w:ascii="Times New Roman" w:hAnsi="Times New Roman" w:eastAsia="黑体"/>
          <w:kern w:val="0"/>
        </w:rPr>
        <w:t xml:space="preserve"> </w:t>
      </w:r>
      <w:r>
        <w:rPr>
          <w:rFonts w:hint="eastAsia" w:ascii="Times New Roman" w:hAnsi="Times New Roman" w:eastAsia="黑体"/>
          <w:kern w:val="0"/>
        </w:rPr>
        <w:t>日志管理</w:t>
      </w:r>
      <w:bookmarkEnd w:id="243"/>
    </w:p>
    <w:p w14:paraId="11B188A9">
      <w:pPr>
        <w:pStyle w:val="242"/>
      </w:pPr>
      <w:r>
        <w:rPr>
          <w:rFonts w:hint="eastAsia"/>
        </w:rPr>
        <w:t>重要数据的处理者应对数据处理活动进行日志记录和管理，应符合以下要求：</w:t>
      </w:r>
    </w:p>
    <w:p w14:paraId="62D46474">
      <w:pPr>
        <w:numPr>
          <w:ilvl w:val="0"/>
          <w:numId w:val="53"/>
        </w:numPr>
        <w:adjustRightInd/>
        <w:spacing w:line="240" w:lineRule="auto"/>
        <w:ind w:left="845"/>
        <w:rPr>
          <w:rFonts w:ascii="Times New Roman" w:hAnsi="Times New Roman"/>
        </w:rPr>
      </w:pPr>
      <w:r>
        <w:rPr>
          <w:rFonts w:hint="eastAsia" w:ascii="Times New Roman" w:hAnsi="Times New Roman"/>
        </w:rPr>
        <w:t>记录维护数据安全所需的日志；</w:t>
      </w:r>
    </w:p>
    <w:p w14:paraId="091EB308">
      <w:pPr>
        <w:numPr>
          <w:ilvl w:val="0"/>
          <w:numId w:val="53"/>
        </w:numPr>
        <w:adjustRightInd/>
        <w:spacing w:line="240" w:lineRule="auto"/>
        <w:ind w:left="845"/>
        <w:rPr>
          <w:rFonts w:ascii="Times New Roman" w:hAnsi="Times New Roman"/>
        </w:rPr>
      </w:pPr>
      <w:r>
        <w:rPr>
          <w:rFonts w:hint="eastAsia" w:ascii="Times New Roman" w:hAnsi="Times New Roman"/>
        </w:rPr>
        <w:t>涉及安全事件处置、溯源的，相关日志留存时间不少于一年；</w:t>
      </w:r>
    </w:p>
    <w:p w14:paraId="79C6ED61">
      <w:pPr>
        <w:numPr>
          <w:ilvl w:val="0"/>
          <w:numId w:val="53"/>
        </w:numPr>
        <w:adjustRightInd/>
        <w:spacing w:line="240" w:lineRule="auto"/>
        <w:ind w:left="845"/>
        <w:rPr>
          <w:rFonts w:ascii="Times New Roman" w:hAnsi="Times New Roman"/>
        </w:rPr>
      </w:pPr>
      <w:r>
        <w:rPr>
          <w:rFonts w:hint="eastAsia" w:ascii="Times New Roman" w:hAnsi="Times New Roman"/>
        </w:rPr>
        <w:t>涉及向他人提供、委托处理、共同处理重要数据的，相关日志留存时间不少于三年。</w:t>
      </w:r>
    </w:p>
    <w:p w14:paraId="5F8D9A46">
      <w:pPr>
        <w:widowControl/>
        <w:adjustRightInd/>
        <w:spacing w:before="156" w:beforeLines="50" w:after="156" w:afterLines="50" w:line="240" w:lineRule="auto"/>
        <w:jc w:val="left"/>
        <w:outlineLvl w:val="1"/>
        <w:rPr>
          <w:rFonts w:ascii="Times New Roman" w:hAnsi="Times New Roman" w:eastAsia="黑体"/>
          <w:kern w:val="0"/>
        </w:rPr>
      </w:pPr>
      <w:bookmarkStart w:id="244" w:name="_Toc10213"/>
      <w:r>
        <w:rPr>
          <w:rFonts w:ascii="Times New Roman" w:hAnsi="Times New Roman" w:eastAsia="黑体"/>
          <w:kern w:val="0"/>
        </w:rPr>
        <w:t>6.</w:t>
      </w:r>
      <w:r>
        <w:rPr>
          <w:rFonts w:hint="eastAsia" w:ascii="Times New Roman" w:hAnsi="Times New Roman" w:eastAsia="黑体"/>
          <w:kern w:val="0"/>
        </w:rPr>
        <w:t>8</w:t>
      </w:r>
      <w:r>
        <w:rPr>
          <w:rFonts w:ascii="Times New Roman" w:hAnsi="Times New Roman" w:eastAsia="黑体"/>
          <w:kern w:val="0"/>
        </w:rPr>
        <w:t xml:space="preserve"> </w:t>
      </w:r>
      <w:r>
        <w:rPr>
          <w:rFonts w:hint="eastAsia" w:ascii="Times New Roman" w:hAnsi="Times New Roman" w:eastAsia="黑体"/>
          <w:kern w:val="0"/>
        </w:rPr>
        <w:t>数据转移和删除</w:t>
      </w:r>
      <w:bookmarkEnd w:id="244"/>
    </w:p>
    <w:p w14:paraId="566448F8">
      <w:pPr>
        <w:pStyle w:val="242"/>
      </w:pPr>
      <w:r>
        <w:rPr>
          <w:rFonts w:hint="eastAsia"/>
        </w:rPr>
        <w:t>重要数据的处理者应对数据转移和删除加强管理，符合以下要求：</w:t>
      </w:r>
    </w:p>
    <w:p w14:paraId="60502E41">
      <w:pPr>
        <w:numPr>
          <w:ilvl w:val="0"/>
          <w:numId w:val="54"/>
        </w:numPr>
        <w:adjustRightInd/>
        <w:spacing w:line="240" w:lineRule="auto"/>
        <w:ind w:left="845"/>
        <w:rPr>
          <w:rFonts w:ascii="Times New Roman" w:hAnsi="Times New Roman"/>
        </w:rPr>
      </w:pPr>
      <w:r>
        <w:rPr>
          <w:rFonts w:hint="eastAsia" w:ascii="Times New Roman" w:hAnsi="Times New Roman"/>
        </w:rPr>
        <w:t>因合并、分立、解散、被宣告破产等原因需要转移、销毁重要数据的，应当采取必要的安全保护措施，并事前向省级及以上主管（监管）部门报告数据处置方案；</w:t>
      </w:r>
    </w:p>
    <w:p w14:paraId="7F0B5D7C">
      <w:pPr>
        <w:numPr>
          <w:ilvl w:val="0"/>
          <w:numId w:val="54"/>
        </w:numPr>
        <w:adjustRightInd/>
        <w:spacing w:line="240" w:lineRule="auto"/>
        <w:ind w:left="845"/>
        <w:rPr>
          <w:rFonts w:ascii="Times New Roman" w:hAnsi="Times New Roman"/>
        </w:rPr>
      </w:pPr>
      <w:r>
        <w:rPr>
          <w:rFonts w:hint="eastAsia" w:ascii="Times New Roman" w:hAnsi="Times New Roman"/>
        </w:rPr>
        <w:t>引起重要数据目录变化的，及时向有关主管（监管）部门报备。</w:t>
      </w:r>
    </w:p>
    <w:p w14:paraId="720E5122">
      <w:pPr>
        <w:widowControl/>
        <w:adjustRightInd/>
        <w:spacing w:before="156" w:beforeLines="50" w:after="156" w:afterLines="50" w:line="240" w:lineRule="auto"/>
        <w:jc w:val="left"/>
        <w:outlineLvl w:val="1"/>
        <w:rPr>
          <w:rFonts w:ascii="Times New Roman" w:hAnsi="Times New Roman" w:eastAsia="黑体"/>
          <w:kern w:val="0"/>
        </w:rPr>
      </w:pPr>
      <w:bookmarkStart w:id="245" w:name="_Toc17750"/>
      <w:r>
        <w:rPr>
          <w:rFonts w:ascii="Times New Roman" w:hAnsi="Times New Roman" w:eastAsia="黑体"/>
          <w:kern w:val="0"/>
        </w:rPr>
        <w:t xml:space="preserve">6.9 </w:t>
      </w:r>
      <w:r>
        <w:rPr>
          <w:rFonts w:hint="eastAsia" w:ascii="Times New Roman" w:hAnsi="Times New Roman" w:eastAsia="黑体"/>
          <w:kern w:val="0"/>
        </w:rPr>
        <w:t>数据出境</w:t>
      </w:r>
      <w:bookmarkEnd w:id="245"/>
    </w:p>
    <w:p w14:paraId="2A4B858E">
      <w:pPr>
        <w:pStyle w:val="242"/>
      </w:pPr>
      <w:r>
        <w:rPr>
          <w:rFonts w:hint="eastAsia"/>
        </w:rPr>
        <w:t>重要数据的处理者涉及数据出境的，应符合以下要求：</w:t>
      </w:r>
    </w:p>
    <w:p w14:paraId="2E4F6A56">
      <w:pPr>
        <w:numPr>
          <w:ilvl w:val="0"/>
          <w:numId w:val="55"/>
        </w:numPr>
        <w:adjustRightInd/>
        <w:spacing w:line="240" w:lineRule="auto"/>
        <w:ind w:left="845"/>
        <w:rPr>
          <w:rFonts w:ascii="Times New Roman" w:hAnsi="Times New Roman"/>
        </w:rPr>
      </w:pPr>
      <w:r>
        <w:rPr>
          <w:rFonts w:hint="eastAsia" w:ascii="Times New Roman" w:hAnsi="Times New Roman"/>
        </w:rPr>
        <w:t>在我国境内收集和产生的重要数据，应在境内存储；</w:t>
      </w:r>
    </w:p>
    <w:p w14:paraId="37AF1F3D">
      <w:pPr>
        <w:numPr>
          <w:ilvl w:val="0"/>
          <w:numId w:val="55"/>
        </w:numPr>
        <w:adjustRightInd/>
        <w:spacing w:line="240" w:lineRule="auto"/>
        <w:ind w:left="845"/>
        <w:rPr>
          <w:rFonts w:ascii="Times New Roman" w:hAnsi="Times New Roman"/>
        </w:rPr>
      </w:pPr>
      <w:r>
        <w:rPr>
          <w:rFonts w:hint="eastAsia" w:ascii="Times New Roman" w:hAnsi="Times New Roman"/>
        </w:rPr>
        <w:t>确需向境外提供的，应依法依规申报数据出境安全评估。</w:t>
      </w:r>
    </w:p>
    <w:p w14:paraId="544E3143">
      <w:pPr>
        <w:pStyle w:val="110"/>
        <w:spacing w:before="312" w:after="312"/>
        <w:rPr>
          <w:rFonts w:ascii="Times New Roman"/>
        </w:rPr>
      </w:pPr>
      <w:bookmarkStart w:id="246" w:name="_Toc21525"/>
      <w:r>
        <w:rPr>
          <w:rFonts w:ascii="Times New Roman"/>
        </w:rPr>
        <w:t>核心数据</w:t>
      </w:r>
      <w:r>
        <w:rPr>
          <w:rFonts w:hint="eastAsia" w:ascii="Times New Roman"/>
        </w:rPr>
        <w:t>保护</w:t>
      </w:r>
      <w:r>
        <w:rPr>
          <w:rFonts w:ascii="Times New Roman"/>
        </w:rPr>
        <w:t>要求</w:t>
      </w:r>
      <w:bookmarkEnd w:id="240"/>
      <w:bookmarkEnd w:id="246"/>
    </w:p>
    <w:p w14:paraId="56C4C9D4">
      <w:pPr>
        <w:pStyle w:val="242"/>
        <w:rPr>
          <w:rFonts w:ascii="Times New Roman"/>
        </w:rPr>
      </w:pPr>
      <w:r>
        <w:rPr>
          <w:rFonts w:hint="eastAsia" w:ascii="Times New Roman"/>
        </w:rPr>
        <w:t>核心数据的处理者应在满足第6章重要数据保护要求基础上，符合以下要求：</w:t>
      </w:r>
    </w:p>
    <w:p w14:paraId="567FB8D5">
      <w:pPr>
        <w:numPr>
          <w:ilvl w:val="0"/>
          <w:numId w:val="56"/>
        </w:numPr>
        <w:adjustRightInd/>
        <w:spacing w:line="240" w:lineRule="auto"/>
        <w:ind w:left="845"/>
        <w:rPr>
          <w:rFonts w:ascii="Times New Roman" w:hAnsi="Times New Roman"/>
        </w:rPr>
      </w:pPr>
      <w:r>
        <w:rPr>
          <w:rFonts w:hint="eastAsia" w:ascii="Times New Roman" w:hAnsi="Times New Roman"/>
        </w:rPr>
        <w:t>存储和处理核心数据的信息系统，涉及关键信息基础设施的，应在网络安全等级保护制度的基础上，落实关键信息基础设施安全保护要求，不涉及关键信息基础设施的，应落实四级网络安全等级保护要求；</w:t>
      </w:r>
    </w:p>
    <w:p w14:paraId="7CE2B604">
      <w:pPr>
        <w:numPr>
          <w:ilvl w:val="0"/>
          <w:numId w:val="56"/>
        </w:numPr>
        <w:adjustRightInd/>
        <w:spacing w:line="240" w:lineRule="auto"/>
        <w:ind w:left="839" w:hanging="420"/>
        <w:rPr>
          <w:rFonts w:ascii="黑体" w:hAnsi="黑体" w:eastAsia="黑体"/>
          <w:sz w:val="18"/>
          <w:lang w:val="de-DE"/>
        </w:rPr>
      </w:pPr>
      <w:r>
        <w:rPr>
          <w:rFonts w:hint="eastAsia" w:ascii="Times New Roman" w:hAnsi="Times New Roman"/>
          <w:lang w:val="de-DE"/>
        </w:rPr>
        <w:t>跨不同法人主体提供、转移、共享核心数据的，应采取必要的安全保护措施，自当年度1月1日起可能累计达到该项核心数据总量30%及以上的，应当经有关主管（监管）部门报</w:t>
      </w:r>
      <w:r>
        <w:rPr>
          <w:rFonts w:hint="eastAsia" w:hAnsi="宋体"/>
        </w:rPr>
        <w:t>国家数据安全工作协调机制</w:t>
      </w:r>
      <w:r>
        <w:rPr>
          <w:rFonts w:hint="eastAsia" w:ascii="Times New Roman" w:hAnsi="Times New Roman"/>
          <w:lang w:val="de-DE"/>
        </w:rPr>
        <w:t>办公室组织风险评估，未达到的按照有关主管（监管）部门要求执行；</w:t>
      </w:r>
    </w:p>
    <w:p w14:paraId="206DB436">
      <w:pPr>
        <w:numPr>
          <w:ilvl w:val="0"/>
          <w:numId w:val="56"/>
        </w:numPr>
        <w:adjustRightInd/>
        <w:spacing w:line="240" w:lineRule="auto"/>
        <w:ind w:left="839" w:hanging="420"/>
        <w:rPr>
          <w:rFonts w:ascii="黑体" w:hAnsi="黑体" w:eastAsia="黑体"/>
          <w:sz w:val="18"/>
          <w:lang w:val="de-DE"/>
        </w:rPr>
      </w:pPr>
      <w:r>
        <w:rPr>
          <w:rFonts w:hint="eastAsia" w:ascii="Times New Roman" w:hAnsi="Times New Roman"/>
        </w:rPr>
        <w:t>未明确国家有关主管（监管）部门的，应按照本地区要求执行；</w:t>
      </w:r>
    </w:p>
    <w:p w14:paraId="2BA73FBB">
      <w:pPr>
        <w:adjustRightInd/>
        <w:spacing w:line="240" w:lineRule="auto"/>
        <w:ind w:left="791" w:leftChars="370" w:hanging="14" w:hangingChars="8"/>
        <w:rPr>
          <w:rFonts w:ascii="黑体" w:hAnsi="黑体" w:eastAsia="黑体"/>
          <w:sz w:val="18"/>
          <w:lang w:val="de-DE"/>
        </w:rPr>
      </w:pPr>
      <w:r>
        <w:rPr>
          <w:rFonts w:hint="eastAsia" w:ascii="黑体" w:hAnsi="黑体" w:eastAsia="黑体"/>
          <w:sz w:val="18"/>
          <w:lang w:val="de-DE"/>
        </w:rPr>
        <w:t>注：</w:t>
      </w:r>
      <w:r>
        <w:rPr>
          <w:rFonts w:hint="eastAsia" w:ascii="黑体" w:hAnsi="黑体"/>
          <w:sz w:val="18"/>
          <w:lang w:val="de-DE"/>
        </w:rPr>
        <w:t>涉及国家机关依法履职、国家机关或者企事业单位内部流通的除外。</w:t>
      </w:r>
    </w:p>
    <w:p w14:paraId="4A44A0AE">
      <w:pPr>
        <w:numPr>
          <w:ilvl w:val="0"/>
          <w:numId w:val="56"/>
        </w:numPr>
        <w:adjustRightInd/>
        <w:spacing w:line="240" w:lineRule="auto"/>
        <w:ind w:left="845"/>
        <w:rPr>
          <w:rFonts w:ascii="Times New Roman" w:hAnsi="Times New Roman"/>
        </w:rPr>
      </w:pPr>
      <w:r>
        <w:rPr>
          <w:rFonts w:hint="eastAsia" w:ascii="Times New Roman" w:hAnsi="Times New Roman"/>
        </w:rPr>
        <w:t>核心数据的处理者在落实重要数据保护要求的基础上，应采取以下措施加强数据保护：</w:t>
      </w:r>
    </w:p>
    <w:p w14:paraId="45D51272">
      <w:pPr>
        <w:pStyle w:val="292"/>
        <w:numPr>
          <w:ilvl w:val="0"/>
          <w:numId w:val="57"/>
        </w:numPr>
        <w:ind w:left="1196" w:hanging="357"/>
      </w:pPr>
      <w:r>
        <w:rPr>
          <w:rFonts w:hint="eastAsia"/>
        </w:rPr>
        <w:t>优先使用商用密码进行保护；</w:t>
      </w:r>
    </w:p>
    <w:p w14:paraId="1A317416">
      <w:pPr>
        <w:pStyle w:val="292"/>
        <w:numPr>
          <w:ilvl w:val="0"/>
          <w:numId w:val="57"/>
        </w:numPr>
        <w:ind w:left="1196" w:hanging="357"/>
      </w:pPr>
      <w:r>
        <w:rPr>
          <w:rFonts w:hint="eastAsia"/>
        </w:rPr>
        <w:t>优先使用安全可信的产品和服务；</w:t>
      </w:r>
    </w:p>
    <w:p w14:paraId="763F2D35">
      <w:pPr>
        <w:pStyle w:val="292"/>
        <w:numPr>
          <w:ilvl w:val="0"/>
          <w:numId w:val="57"/>
        </w:numPr>
        <w:ind w:left="1196" w:hanging="357"/>
      </w:pPr>
      <w:r>
        <w:rPr>
          <w:rFonts w:hint="eastAsia"/>
        </w:rPr>
        <w:t>优先使用第三方评估机构开展数据安全风险评估；</w:t>
      </w:r>
    </w:p>
    <w:p w14:paraId="70B63373">
      <w:pPr>
        <w:pStyle w:val="292"/>
        <w:numPr>
          <w:ilvl w:val="0"/>
          <w:numId w:val="57"/>
        </w:numPr>
        <w:ind w:left="1196" w:hanging="357"/>
      </w:pPr>
      <w:r>
        <w:rPr>
          <w:rFonts w:hint="eastAsia"/>
        </w:rPr>
        <w:t>涉及核心数据安全事件处置、溯源的相关日志，留存时间不少于三年；</w:t>
      </w:r>
    </w:p>
    <w:p w14:paraId="18E0C3E2">
      <w:pPr>
        <w:pStyle w:val="292"/>
        <w:numPr>
          <w:ilvl w:val="0"/>
          <w:numId w:val="57"/>
        </w:numPr>
        <w:ind w:left="1196" w:hanging="357"/>
      </w:pPr>
      <w:r>
        <w:rPr>
          <w:rFonts w:hint="eastAsia"/>
        </w:rPr>
        <w:t>对相关关键岗位人员、涉及核心数据信息系统建设和运维单位等，依法依规提交公安机关、国家安全机关进行国家安全背景审查。</w:t>
      </w:r>
    </w:p>
    <w:p w14:paraId="01C76762">
      <w:pPr>
        <w:widowControl/>
        <w:adjustRightInd/>
        <w:spacing w:line="240" w:lineRule="auto"/>
        <w:jc w:val="left"/>
        <w:rPr>
          <w:rFonts w:ascii="宋体" w:hAnsi="Times New Roman" w:eastAsia="黑体"/>
          <w:snapToGrid w:val="0"/>
          <w:kern w:val="0"/>
          <w:sz w:val="18"/>
          <w:szCs w:val="18"/>
        </w:rPr>
      </w:pPr>
      <w:r>
        <w:br w:type="page"/>
      </w:r>
    </w:p>
    <w:bookmarkEnd w:id="166"/>
    <w:bookmarkEnd w:id="167"/>
    <w:bookmarkEnd w:id="168"/>
    <w:bookmarkEnd w:id="169"/>
    <w:bookmarkEnd w:id="170"/>
    <w:p w14:paraId="59D5C981">
      <w:pPr>
        <w:widowControl/>
        <w:tabs>
          <w:tab w:val="center" w:pos="4201"/>
          <w:tab w:val="right" w:leader="dot" w:pos="9298"/>
        </w:tabs>
        <w:autoSpaceDE w:val="0"/>
        <w:autoSpaceDN w:val="0"/>
        <w:adjustRightInd/>
        <w:spacing w:before="640" w:after="280" w:line="240" w:lineRule="auto"/>
        <w:jc w:val="center"/>
        <w:outlineLvl w:val="0"/>
        <w:rPr>
          <w:rFonts w:ascii="Times New Roman" w:hAnsi="Times New Roman"/>
          <w:kern w:val="0"/>
        </w:rPr>
      </w:pPr>
      <w:bookmarkStart w:id="247" w:name="_Toc85469199"/>
      <w:bookmarkStart w:id="248" w:name="_Toc136442158"/>
      <w:bookmarkStart w:id="249" w:name="_Toc149911397"/>
      <w:bookmarkStart w:id="250" w:name="_Toc27730"/>
      <w:r>
        <w:rPr>
          <w:rFonts w:ascii="Times New Roman" w:hAnsi="Times New Roman"/>
          <w:kern w:val="0"/>
        </w:rPr>
        <w:t>参　考　文　献</w:t>
      </w:r>
      <w:bookmarkEnd w:id="247"/>
      <w:bookmarkEnd w:id="248"/>
      <w:bookmarkEnd w:id="249"/>
      <w:bookmarkEnd w:id="250"/>
    </w:p>
    <w:p w14:paraId="79A04ED3">
      <w:pPr>
        <w:numPr>
          <w:ilvl w:val="0"/>
          <w:numId w:val="58"/>
        </w:numPr>
        <w:adjustRightInd/>
        <w:ind w:left="544" w:hanging="544"/>
        <w:rPr>
          <w:rFonts w:ascii="Times New Roman" w:hAnsi="Times New Roman"/>
          <w:szCs w:val="24"/>
        </w:rPr>
      </w:pPr>
      <w:r>
        <w:rPr>
          <w:rFonts w:hint="eastAsia" w:ascii="Times New Roman" w:hAnsi="Times New Roman"/>
          <w:kern w:val="0"/>
          <w:szCs w:val="20"/>
          <w:lang w:val="de-DE"/>
        </w:rPr>
        <w:t>中华人民共和国数据安全法（2021年6月10日中华人民共和国第十三届全国人民代表大会常务委员会第二十九次会议通过）</w:t>
      </w:r>
    </w:p>
    <w:p w14:paraId="15FCFA41">
      <w:pPr>
        <w:numPr>
          <w:ilvl w:val="0"/>
          <w:numId w:val="58"/>
        </w:numPr>
        <w:adjustRightInd/>
        <w:ind w:left="544" w:hanging="544"/>
        <w:rPr>
          <w:rFonts w:ascii="Times New Roman" w:hAnsi="Times New Roman"/>
          <w:szCs w:val="24"/>
        </w:rPr>
      </w:pPr>
      <w:r>
        <w:rPr>
          <w:rFonts w:hint="eastAsia" w:ascii="Times New Roman" w:hAnsi="Times New Roman"/>
          <w:szCs w:val="24"/>
        </w:rPr>
        <w:t>网络数据安全管理条例（中华人民共和国国务院令第790号）</w:t>
      </w:r>
    </w:p>
    <w:p w14:paraId="25193DFF">
      <w:pPr>
        <w:numPr>
          <w:ilvl w:val="0"/>
          <w:numId w:val="58"/>
        </w:numPr>
        <w:adjustRightInd/>
        <w:ind w:left="544" w:hanging="544"/>
        <w:rPr>
          <w:rFonts w:ascii="Times New Roman" w:hAnsi="Times New Roman"/>
          <w:szCs w:val="24"/>
        </w:rPr>
      </w:pPr>
      <w:r>
        <w:rPr>
          <w:rFonts w:ascii="Times New Roman" w:hAnsi="Times New Roman"/>
          <w:kern w:val="0"/>
          <w:szCs w:val="20"/>
          <w:lang w:val="de-DE"/>
        </w:rPr>
        <w:t>GB/T 22239　信息安全技术　网络安全等级保护基本要求</w:t>
      </w:r>
    </w:p>
    <w:p w14:paraId="546C23D2">
      <w:pPr>
        <w:numPr>
          <w:ilvl w:val="0"/>
          <w:numId w:val="58"/>
        </w:numPr>
        <w:adjustRightInd/>
        <w:ind w:left="544" w:hanging="544"/>
        <w:rPr>
          <w:rFonts w:ascii="Times New Roman" w:hAnsi="Times New Roman"/>
          <w:szCs w:val="24"/>
        </w:rPr>
      </w:pPr>
      <w:r>
        <w:rPr>
          <w:rFonts w:hint="eastAsia" w:ascii="Times New Roman" w:hAnsi="Times New Roman"/>
          <w:kern w:val="0"/>
          <w:szCs w:val="20"/>
          <w:lang w:val="de-DE"/>
        </w:rPr>
        <w:t>GB/T 43697　数据安全技术　数据分类分级规则</w:t>
      </w:r>
    </w:p>
    <w:p w14:paraId="53A7145E">
      <w:pPr>
        <w:numPr>
          <w:ilvl w:val="0"/>
          <w:numId w:val="58"/>
        </w:numPr>
        <w:adjustRightInd/>
        <w:ind w:left="544" w:hanging="544"/>
        <w:rPr>
          <w:rFonts w:ascii="Times New Roman" w:hAnsi="Times New Roman"/>
          <w:szCs w:val="24"/>
        </w:rPr>
      </w:pPr>
      <w:r>
        <w:rPr>
          <w:rFonts w:hint="eastAsia" w:ascii="Times New Roman" w:hAnsi="Times New Roman"/>
          <w:kern w:val="0"/>
          <w:szCs w:val="20"/>
          <w:lang w:val="de-DE"/>
        </w:rPr>
        <w:t>GB/T 45577</w:t>
      </w:r>
      <w:r>
        <w:rPr>
          <w:rFonts w:ascii="Times New Roman" w:hAnsi="Times New Roman"/>
          <w:kern w:val="0"/>
          <w:szCs w:val="20"/>
          <w:lang w:val="de-DE"/>
        </w:rPr>
        <w:t>　</w:t>
      </w:r>
      <w:r>
        <w:rPr>
          <w:rFonts w:hint="eastAsia" w:ascii="Times New Roman" w:hAnsi="Times New Roman"/>
          <w:kern w:val="0"/>
          <w:szCs w:val="20"/>
          <w:lang w:val="de-DE"/>
        </w:rPr>
        <w:t>数据安全技术</w:t>
      </w:r>
      <w:r>
        <w:rPr>
          <w:rFonts w:ascii="Times New Roman" w:hAnsi="Times New Roman"/>
          <w:kern w:val="0"/>
          <w:szCs w:val="20"/>
          <w:lang w:val="de-DE"/>
        </w:rPr>
        <w:t>　</w:t>
      </w:r>
      <w:r>
        <w:rPr>
          <w:rFonts w:hint="eastAsia" w:ascii="Times New Roman" w:hAnsi="Times New Roman"/>
          <w:kern w:val="0"/>
          <w:szCs w:val="20"/>
          <w:lang w:val="de-DE"/>
        </w:rPr>
        <w:t>数据安全风险评估方法</w:t>
      </w:r>
    </w:p>
    <w:sectPr>
      <w:headerReference r:id="rId18" w:type="default"/>
      <w:footerReference r:id="rId20" w:type="default"/>
      <w:headerReference r:id="rId19" w:type="even"/>
      <w:type w:val="oddPage"/>
      <w:pgSz w:w="11906" w:h="16838"/>
      <w:pgMar w:top="1440" w:right="1800" w:bottom="1440" w:left="1800" w:header="1417" w:footer="1134"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7A53F">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66B93">
    <w:pPr>
      <w:pStyle w:val="19"/>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2AF4">
    <w:pPr>
      <w:pStyle w:val="1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EF977">
    <w:pPr>
      <w:pStyle w:val="248"/>
    </w:pPr>
    <w:r>
      <w:fldChar w:fldCharType="begin"/>
    </w:r>
    <w:r>
      <w:instrText xml:space="preserve"> PAGE  \* MERGEFORMAT </w:instrText>
    </w:r>
    <w:r>
      <w:fldChar w:fldCharType="separate"/>
    </w:r>
    <w:r>
      <w:t>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A9A1B">
    <w:pPr>
      <w:pStyle w:val="19"/>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17A38">
    <w:pPr>
      <w:pStyle w:val="248"/>
    </w:pPr>
    <w:r>
      <w:fldChar w:fldCharType="begin"/>
    </w:r>
    <w:r>
      <w:instrText xml:space="preserve"> PAGE  \* MERGEFORMAT </w:instrText>
    </w:r>
    <w:r>
      <w:fldChar w:fldCharType="separate"/>
    </w:r>
    <w:r>
      <w:t>8</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277859"/>
    </w:sdtPr>
    <w:sdtContent>
      <w:p w14:paraId="4E2999DE">
        <w:pPr>
          <w:pStyle w:val="19"/>
          <w:jc w:val="both"/>
        </w:pPr>
        <w:r>
          <w:fldChar w:fldCharType="begin"/>
        </w:r>
        <w:r>
          <w:instrText xml:space="preserve">PAGE   \* MERGEFORMAT</w:instrText>
        </w:r>
        <w:r>
          <w:fldChar w:fldCharType="separate"/>
        </w:r>
        <w:r>
          <w:rPr>
            <w:lang w:val="zh-CN"/>
          </w:rPr>
          <w:t>2</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4571844"/>
    </w:sdtPr>
    <w:sdtContent>
      <w:p w14:paraId="2A219248">
        <w:pPr>
          <w:pStyle w:val="19"/>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B3EDD">
    <w:pPr>
      <w:pStyle w:val="20"/>
      <w:framePr/>
    </w:pPr>
    <w:r>
      <w:t>Q/LB.</w:t>
    </w:r>
    <w:r>
      <w:rPr>
        <w:rFonts w:hint="eastAsia"/>
      </w:rPr>
      <w:t>□</w:t>
    </w:r>
    <w: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4A59C">
    <w:pPr>
      <w:pStyle w:val="67"/>
      <w:spacing w:after="0"/>
      <w:ind w:right="840"/>
      <w:jc w:val="both"/>
    </w:pPr>
    <w:r>
      <w:fldChar w:fldCharType="begin"/>
    </w:r>
    <w:r>
      <w:instrText xml:space="preserve"> STYLEREF  标准文件_文件编号  \* MERGEFORMAT </w:instrText>
    </w:r>
    <w:r>
      <w:fldChar w:fldCharType="separate"/>
    </w:r>
    <w:r>
      <w:t>GB/T XXXXX—XXXX</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A7E9E">
    <w:pPr>
      <w:pStyle w:val="20"/>
      <w:frame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619AC">
    <w:pPr>
      <w:pStyle w:val="67"/>
      <w:spacing w:after="284"/>
    </w:pPr>
    <w:r>
      <w:fldChar w:fldCharType="begin"/>
    </w:r>
    <w:r>
      <w:instrText xml:space="preserve"> STYLEREF  标准文件_文件编号  \* MERGEFORMAT </w:instrText>
    </w:r>
    <w:r>
      <w:fldChar w:fldCharType="separate"/>
    </w:r>
    <w:r>
      <w:t>GB/T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6CBE0">
    <w:pPr>
      <w:pStyle w:val="67"/>
      <w:spacing w:after="284"/>
      <w:ind w:right="839"/>
      <w:jc w:val="both"/>
    </w:pPr>
    <w:r>
      <w:fldChar w:fldCharType="begin"/>
    </w:r>
    <w:r>
      <w:instrText xml:space="preserve"> STYLEREF  标准文件_文件编号  \* MERGEFORMAT </w:instrText>
    </w:r>
    <w:r>
      <w:fldChar w:fldCharType="separate"/>
    </w:r>
    <w:r>
      <w:t>GB/T 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5C18">
    <w:pPr>
      <w:pStyle w:val="67"/>
      <w:spacing w:after="284"/>
    </w:pPr>
    <w:r>
      <w:fldChar w:fldCharType="begin"/>
    </w:r>
    <w:r>
      <w:instrText xml:space="preserve"> STYLEREF  标准文件_文件编号  \* MERGEFORMAT </w:instrText>
    </w:r>
    <w:r>
      <w:fldChar w:fldCharType="separate"/>
    </w:r>
    <w:r>
      <w:t>GB/T XXXXX—XXXX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C3104">
    <w:pPr>
      <w:pStyle w:val="67"/>
      <w:spacing w:after="284"/>
    </w:pPr>
    <w:r>
      <w:fldChar w:fldCharType="begin"/>
    </w:r>
    <w:r>
      <w:instrText xml:space="preserve"> STYLEREF  标准文件_文件编号  \* MERGEFORMAT </w:instrText>
    </w:r>
    <w:r>
      <w:fldChar w:fldCharType="separate"/>
    </w:r>
    <w:r>
      <w:t>GB/T XXXXX—XXXX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00D99">
    <w:pPr>
      <w:pStyle w:val="67"/>
      <w:spacing w:after="284"/>
      <w:ind w:right="840"/>
      <w:jc w:val="both"/>
    </w:pPr>
    <w:r>
      <w:fldChar w:fldCharType="begin"/>
    </w:r>
    <w:r>
      <w:instrText xml:space="preserve"> STYLEREF  标准文件_文件编号  \* MERGEFORMAT </w:instrText>
    </w:r>
    <w:r>
      <w:fldChar w:fldCharType="separate"/>
    </w:r>
    <w:r>
      <w:t>GB/T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81762"/>
    <w:multiLevelType w:val="singleLevel"/>
    <w:tmpl w:val="86F81762"/>
    <w:lvl w:ilvl="0" w:tentative="0">
      <w:start w:val="1"/>
      <w:numFmt w:val="decimal"/>
      <w:lvlText w:val="%1)"/>
      <w:lvlJc w:val="left"/>
      <w:pPr>
        <w:tabs>
          <w:tab w:val="left" w:pos="840"/>
        </w:tabs>
        <w:ind w:left="1265" w:hanging="425"/>
      </w:pPr>
      <w:rPr>
        <w:rFonts w:hint="default"/>
      </w:rPr>
    </w:lvl>
  </w:abstractNum>
  <w:abstractNum w:abstractNumId="1">
    <w:nsid w:val="DE662DD2"/>
    <w:multiLevelType w:val="singleLevel"/>
    <w:tmpl w:val="DE662DD2"/>
    <w:lvl w:ilvl="0" w:tentative="0">
      <w:start w:val="1"/>
      <w:numFmt w:val="lowerLetter"/>
      <w:lvlText w:val="%1）"/>
      <w:lvlJc w:val="left"/>
      <w:pPr>
        <w:tabs>
          <w:tab w:val="left" w:pos="840"/>
        </w:tabs>
        <w:ind w:left="845" w:hanging="425"/>
      </w:pPr>
      <w:rPr>
        <w:rFonts w:hint="default"/>
      </w:rPr>
    </w:lvl>
  </w:abstractNum>
  <w:abstractNum w:abstractNumId="2">
    <w:nsid w:val="00000019"/>
    <w:multiLevelType w:val="multilevel"/>
    <w:tmpl w:val="00000019"/>
    <w:lvl w:ilvl="0" w:tentative="0">
      <w:start w:val="1"/>
      <w:numFmt w:val="upperLetter"/>
      <w:pStyle w:val="249"/>
      <w:suff w:val="nothing"/>
      <w:lvlText w:val="附　录　%1"/>
      <w:lvlJc w:val="left"/>
      <w:rPr>
        <w:rFonts w:hint="eastAsia" w:ascii="黑体" w:hAnsi="Times New Roman" w:eastAsia="黑体" w:cs="Times New Roman"/>
        <w:b w:val="0"/>
        <w:i w:val="0"/>
        <w:spacing w:val="0"/>
        <w:w w:val="100"/>
        <w:sz w:val="21"/>
      </w:rPr>
    </w:lvl>
    <w:lvl w:ilvl="1" w:tentative="0">
      <w:start w:val="1"/>
      <w:numFmt w:val="decimal"/>
      <w:suff w:val="nothing"/>
      <w:lvlText w:val="%1.%2　"/>
      <w:lvlJc w:val="left"/>
      <w:pPr>
        <w:ind w:left="840"/>
      </w:pPr>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pPr>
        <w:ind w:left="210"/>
      </w:pPr>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3">
    <w:nsid w:val="024A86AB"/>
    <w:multiLevelType w:val="singleLevel"/>
    <w:tmpl w:val="024A86AB"/>
    <w:lvl w:ilvl="0" w:tentative="0">
      <w:start w:val="1"/>
      <w:numFmt w:val="lowerLetter"/>
      <w:lvlText w:val="%1)"/>
      <w:lvlJc w:val="left"/>
      <w:pPr>
        <w:tabs>
          <w:tab w:val="left" w:pos="420"/>
        </w:tabs>
        <w:ind w:left="425" w:hanging="425"/>
      </w:pPr>
      <w:rPr>
        <w:rFonts w:hint="default"/>
      </w:rPr>
    </w:lvl>
  </w:abstractNum>
  <w:abstractNum w:abstractNumId="4">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5">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4"/>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05216466"/>
    <w:multiLevelType w:val="singleLevel"/>
    <w:tmpl w:val="05216466"/>
    <w:lvl w:ilvl="0" w:tentative="0">
      <w:start w:val="1"/>
      <w:numFmt w:val="lowerLetter"/>
      <w:lvlText w:val="%1)"/>
      <w:lvlJc w:val="left"/>
      <w:pPr>
        <w:tabs>
          <w:tab w:val="left" w:pos="420"/>
        </w:tabs>
        <w:ind w:left="425" w:hanging="425"/>
      </w:pPr>
      <w:rPr>
        <w:rFonts w:hint="default"/>
      </w:rPr>
    </w:lvl>
  </w:abstractNum>
  <w:abstractNum w:abstractNumId="7">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8">
    <w:nsid w:val="07ED3FEA"/>
    <w:multiLevelType w:val="multilevel"/>
    <w:tmpl w:val="07ED3FEA"/>
    <w:lvl w:ilvl="0" w:tentative="0">
      <w:start w:val="1"/>
      <w:numFmt w:val="none"/>
      <w:pStyle w:val="95"/>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0">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2">
    <w:nsid w:val="0F347BD4"/>
    <w:multiLevelType w:val="singleLevel"/>
    <w:tmpl w:val="0F347BD4"/>
    <w:lvl w:ilvl="0" w:tentative="0">
      <w:start w:val="1"/>
      <w:numFmt w:val="lowerLetter"/>
      <w:lvlText w:val="%1)"/>
      <w:lvlJc w:val="left"/>
      <w:pPr>
        <w:tabs>
          <w:tab w:val="left" w:pos="420"/>
        </w:tabs>
        <w:ind w:left="425" w:hanging="425"/>
      </w:pPr>
      <w:rPr>
        <w:rFonts w:hint="default"/>
      </w:rPr>
    </w:lvl>
  </w:abstractNum>
  <w:abstractNum w:abstractNumId="13">
    <w:nsid w:val="12091FFB"/>
    <w:multiLevelType w:val="singleLevel"/>
    <w:tmpl w:val="12091FFB"/>
    <w:lvl w:ilvl="0" w:tentative="0">
      <w:start w:val="1"/>
      <w:numFmt w:val="lowerLetter"/>
      <w:lvlText w:val="%1)"/>
      <w:lvlJc w:val="left"/>
      <w:pPr>
        <w:tabs>
          <w:tab w:val="left" w:pos="420"/>
        </w:tabs>
        <w:ind w:left="425" w:hanging="425"/>
      </w:pPr>
      <w:rPr>
        <w:rFonts w:hint="default"/>
      </w:rPr>
    </w:lvl>
  </w:abstractNum>
  <w:abstractNum w:abstractNumId="14">
    <w:nsid w:val="13915E49"/>
    <w:multiLevelType w:val="singleLevel"/>
    <w:tmpl w:val="13915E49"/>
    <w:lvl w:ilvl="0" w:tentative="0">
      <w:start w:val="1"/>
      <w:numFmt w:val="lowerLetter"/>
      <w:lvlText w:val="%1)"/>
      <w:lvlJc w:val="left"/>
      <w:pPr>
        <w:tabs>
          <w:tab w:val="left" w:pos="420"/>
        </w:tabs>
        <w:ind w:left="425" w:hanging="425"/>
      </w:pPr>
      <w:rPr>
        <w:rFonts w:hint="default"/>
      </w:rPr>
    </w:lvl>
  </w:abstractNum>
  <w:abstractNum w:abstractNumId="15">
    <w:nsid w:val="175303C8"/>
    <w:multiLevelType w:val="singleLevel"/>
    <w:tmpl w:val="175303C8"/>
    <w:lvl w:ilvl="0" w:tentative="0">
      <w:start w:val="1"/>
      <w:numFmt w:val="lowerLetter"/>
      <w:lvlText w:val="%1)"/>
      <w:lvlJc w:val="left"/>
      <w:pPr>
        <w:tabs>
          <w:tab w:val="left" w:pos="420"/>
        </w:tabs>
        <w:ind w:left="425" w:hanging="425"/>
      </w:pPr>
      <w:rPr>
        <w:rFonts w:hint="default"/>
      </w:rPr>
    </w:lvl>
  </w:abstractNum>
  <w:abstractNum w:abstractNumId="16">
    <w:nsid w:val="1AD20F90"/>
    <w:multiLevelType w:val="multilevel"/>
    <w:tmpl w:val="1AD20F90"/>
    <w:lvl w:ilvl="0" w:tentative="0">
      <w:start w:val="1"/>
      <w:numFmt w:val="none"/>
      <w:pStyle w:val="11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1D6629AD"/>
    <w:multiLevelType w:val="multilevel"/>
    <w:tmpl w:val="1D6629AD"/>
    <w:lvl w:ilvl="0" w:tentative="0">
      <w:start w:val="1"/>
      <w:numFmt w:val="bullet"/>
      <w:pStyle w:val="273"/>
      <w:suff w:val="space"/>
      <w:lvlText w:val=""/>
      <w:lvlJc w:val="left"/>
      <w:pPr>
        <w:ind w:left="562" w:firstLine="431"/>
      </w:pPr>
      <w:rPr>
        <w:rFonts w:hint="default" w:ascii="Wingdings" w:hAnsi="Wingdings" w:cs="Wingdings"/>
      </w:rPr>
    </w:lvl>
    <w:lvl w:ilvl="1" w:tentative="0">
      <w:start w:val="1"/>
      <w:numFmt w:val="bullet"/>
      <w:lvlText w:val=""/>
      <w:lvlJc w:val="left"/>
      <w:pPr>
        <w:ind w:left="987"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abstractNum w:abstractNumId="19">
    <w:nsid w:val="1EAA1992"/>
    <w:multiLevelType w:val="multilevel"/>
    <w:tmpl w:val="1EAA1992"/>
    <w:lvl w:ilvl="0" w:tentative="0">
      <w:start w:val="1"/>
      <w:numFmt w:val="none"/>
      <w:pStyle w:val="9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20">
    <w:nsid w:val="2AF7B49B"/>
    <w:multiLevelType w:val="singleLevel"/>
    <w:tmpl w:val="2AF7B49B"/>
    <w:lvl w:ilvl="0" w:tentative="0">
      <w:start w:val="1"/>
      <w:numFmt w:val="lowerLetter"/>
      <w:lvlText w:val="%1)"/>
      <w:lvlJc w:val="left"/>
      <w:pPr>
        <w:tabs>
          <w:tab w:val="left" w:pos="420"/>
        </w:tabs>
        <w:ind w:left="425" w:hanging="425"/>
      </w:pPr>
      <w:rPr>
        <w:rFonts w:hint="default"/>
      </w:rPr>
    </w:lvl>
  </w:abstractNum>
  <w:abstractNum w:abstractNumId="21">
    <w:nsid w:val="2C5917C3"/>
    <w:multiLevelType w:val="multilevel"/>
    <w:tmpl w:val="2C5917C3"/>
    <w:lvl w:ilvl="0" w:tentative="0">
      <w:start w:val="1"/>
      <w:numFmt w:val="none"/>
      <w:pStyle w:val="13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2">
    <w:nsid w:val="32F04FB2"/>
    <w:multiLevelType w:val="multilevel"/>
    <w:tmpl w:val="32F04FB2"/>
    <w:lvl w:ilvl="0" w:tentative="0">
      <w:start w:val="1"/>
      <w:numFmt w:val="lowerLetter"/>
      <w:pStyle w:val="10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3">
    <w:nsid w:val="3BE91FEF"/>
    <w:multiLevelType w:val="singleLevel"/>
    <w:tmpl w:val="3BE91FEF"/>
    <w:lvl w:ilvl="0" w:tentative="0">
      <w:start w:val="1"/>
      <w:numFmt w:val="decimal"/>
      <w:lvlText w:val="%1)"/>
      <w:lvlJc w:val="left"/>
      <w:pPr>
        <w:ind w:left="425" w:hanging="425"/>
      </w:pPr>
      <w:rPr>
        <w:rFonts w:hint="default"/>
      </w:rPr>
    </w:lvl>
  </w:abstractNum>
  <w:abstractNum w:abstractNumId="24">
    <w:nsid w:val="3E94023F"/>
    <w:multiLevelType w:val="singleLevel"/>
    <w:tmpl w:val="3E94023F"/>
    <w:lvl w:ilvl="0" w:tentative="0">
      <w:start w:val="1"/>
      <w:numFmt w:val="lowerLetter"/>
      <w:lvlText w:val="%1)"/>
      <w:lvlJc w:val="left"/>
      <w:pPr>
        <w:tabs>
          <w:tab w:val="left" w:pos="420"/>
        </w:tabs>
        <w:ind w:left="425" w:hanging="425"/>
      </w:pPr>
      <w:rPr>
        <w:rFonts w:hint="default"/>
      </w:rPr>
    </w:lvl>
  </w:abstractNum>
  <w:abstractNum w:abstractNumId="25">
    <w:nsid w:val="4197729A"/>
    <w:multiLevelType w:val="singleLevel"/>
    <w:tmpl w:val="4197729A"/>
    <w:lvl w:ilvl="0" w:tentative="0">
      <w:start w:val="1"/>
      <w:numFmt w:val="lowerLetter"/>
      <w:lvlText w:val="%1)"/>
      <w:lvlJc w:val="left"/>
      <w:pPr>
        <w:tabs>
          <w:tab w:val="left" w:pos="420"/>
        </w:tabs>
        <w:ind w:left="425" w:hanging="425"/>
      </w:pPr>
      <w:rPr>
        <w:rFonts w:hint="default"/>
      </w:rPr>
    </w:lvl>
  </w:abstractNum>
  <w:abstractNum w:abstractNumId="26">
    <w:nsid w:val="44C50F90"/>
    <w:multiLevelType w:val="multilevel"/>
    <w:tmpl w:val="44C50F90"/>
    <w:lvl w:ilvl="0" w:tentative="0">
      <w:start w:val="1"/>
      <w:numFmt w:val="lowerLetter"/>
      <w:pStyle w:val="180"/>
      <w:lvlText w:val="%1)"/>
      <w:lvlJc w:val="left"/>
      <w:pPr>
        <w:tabs>
          <w:tab w:val="left" w:pos="851"/>
        </w:tabs>
        <w:ind w:left="851" w:hanging="426"/>
      </w:pPr>
      <w:rPr>
        <w:rFonts w:hint="eastAsia" w:ascii="宋体" w:hAnsi="Times New Roman" w:eastAsia="宋体"/>
        <w:sz w:val="21"/>
      </w:rPr>
    </w:lvl>
    <w:lvl w:ilvl="1" w:tentative="0">
      <w:start w:val="1"/>
      <w:numFmt w:val="decimal"/>
      <w:pStyle w:val="115"/>
      <w:lvlText w:val="%2)"/>
      <w:lvlJc w:val="left"/>
      <w:pPr>
        <w:tabs>
          <w:tab w:val="left" w:pos="1276"/>
        </w:tabs>
        <w:ind w:left="1276" w:hanging="425"/>
      </w:pPr>
      <w:rPr>
        <w:rFonts w:hint="eastAsia" w:ascii="宋体" w:hAnsi="Times New Roman" w:eastAsia="宋体"/>
        <w:sz w:val="21"/>
      </w:rPr>
    </w:lvl>
    <w:lvl w:ilvl="2" w:tentative="0">
      <w:start w:val="1"/>
      <w:numFmt w:val="decimal"/>
      <w:pStyle w:val="12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7">
    <w:nsid w:val="463E086A"/>
    <w:multiLevelType w:val="multilevel"/>
    <w:tmpl w:val="463E086A"/>
    <w:lvl w:ilvl="0" w:tentative="0">
      <w:start w:val="1"/>
      <w:numFmt w:val="decimal"/>
      <w:pStyle w:val="292"/>
      <w:lvlText w:val="%1）"/>
      <w:lvlJc w:val="left"/>
      <w:pPr>
        <w:ind w:left="5322" w:hanging="360"/>
      </w:pPr>
      <w:rPr>
        <w:rFonts w:hint="default" w:ascii="Times New Roman" w:hAnsi="Times New Roman"/>
      </w:rPr>
    </w:lvl>
    <w:lvl w:ilvl="1" w:tentative="0">
      <w:start w:val="1"/>
      <w:numFmt w:val="lowerLetter"/>
      <w:lvlText w:val="%2)"/>
      <w:lvlJc w:val="left"/>
      <w:pPr>
        <w:ind w:left="2145" w:hanging="440"/>
      </w:pPr>
    </w:lvl>
    <w:lvl w:ilvl="2" w:tentative="0">
      <w:start w:val="1"/>
      <w:numFmt w:val="lowerRoman"/>
      <w:lvlText w:val="%3."/>
      <w:lvlJc w:val="right"/>
      <w:pPr>
        <w:ind w:left="2585" w:hanging="440"/>
      </w:pPr>
    </w:lvl>
    <w:lvl w:ilvl="3" w:tentative="0">
      <w:start w:val="1"/>
      <w:numFmt w:val="decimal"/>
      <w:lvlText w:val="%4."/>
      <w:lvlJc w:val="left"/>
      <w:pPr>
        <w:ind w:left="3025" w:hanging="440"/>
      </w:pPr>
    </w:lvl>
    <w:lvl w:ilvl="4" w:tentative="0">
      <w:start w:val="1"/>
      <w:numFmt w:val="lowerLetter"/>
      <w:lvlText w:val="%5)"/>
      <w:lvlJc w:val="left"/>
      <w:pPr>
        <w:ind w:left="3465" w:hanging="440"/>
      </w:pPr>
    </w:lvl>
    <w:lvl w:ilvl="5" w:tentative="0">
      <w:start w:val="1"/>
      <w:numFmt w:val="lowerRoman"/>
      <w:lvlText w:val="%6."/>
      <w:lvlJc w:val="right"/>
      <w:pPr>
        <w:ind w:left="3905" w:hanging="440"/>
      </w:pPr>
    </w:lvl>
    <w:lvl w:ilvl="6" w:tentative="0">
      <w:start w:val="1"/>
      <w:numFmt w:val="decimal"/>
      <w:lvlText w:val="%7."/>
      <w:lvlJc w:val="left"/>
      <w:pPr>
        <w:ind w:left="4345" w:hanging="440"/>
      </w:pPr>
    </w:lvl>
    <w:lvl w:ilvl="7" w:tentative="0">
      <w:start w:val="1"/>
      <w:numFmt w:val="lowerLetter"/>
      <w:lvlText w:val="%8)"/>
      <w:lvlJc w:val="left"/>
      <w:pPr>
        <w:ind w:left="4785" w:hanging="440"/>
      </w:pPr>
    </w:lvl>
    <w:lvl w:ilvl="8" w:tentative="0">
      <w:start w:val="1"/>
      <w:numFmt w:val="lowerRoman"/>
      <w:lvlText w:val="%9."/>
      <w:lvlJc w:val="right"/>
      <w:pPr>
        <w:ind w:left="5225" w:hanging="440"/>
      </w:pPr>
    </w:lvl>
  </w:abstractNum>
  <w:abstractNum w:abstractNumId="28">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8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9">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0">
    <w:nsid w:val="4D0B6E7F"/>
    <w:multiLevelType w:val="multilevel"/>
    <w:tmpl w:val="4D0B6E7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4E5D0534"/>
    <w:multiLevelType w:val="multilevel"/>
    <w:tmpl w:val="4E5D0534"/>
    <w:lvl w:ilvl="0" w:tentative="0">
      <w:start w:val="1"/>
      <w:numFmt w:val="decimal"/>
      <w:pStyle w:val="12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4FA15E82"/>
    <w:multiLevelType w:val="singleLevel"/>
    <w:tmpl w:val="4FA15E82"/>
    <w:lvl w:ilvl="0" w:tentative="0">
      <w:start w:val="1"/>
      <w:numFmt w:val="decimal"/>
      <w:lvlText w:val="%1)"/>
      <w:lvlJc w:val="left"/>
      <w:pPr>
        <w:tabs>
          <w:tab w:val="left" w:pos="840"/>
        </w:tabs>
        <w:ind w:left="1265" w:hanging="425"/>
      </w:pPr>
      <w:rPr>
        <w:rFonts w:hint="default"/>
      </w:rPr>
    </w:lvl>
  </w:abstractNum>
  <w:abstractNum w:abstractNumId="33">
    <w:nsid w:val="50406B9E"/>
    <w:multiLevelType w:val="singleLevel"/>
    <w:tmpl w:val="50406B9E"/>
    <w:lvl w:ilvl="0" w:tentative="0">
      <w:start w:val="1"/>
      <w:numFmt w:val="lowerLetter"/>
      <w:lvlText w:val="%1)"/>
      <w:lvlJc w:val="left"/>
      <w:pPr>
        <w:tabs>
          <w:tab w:val="left" w:pos="420"/>
        </w:tabs>
        <w:ind w:left="425" w:hanging="425"/>
      </w:pPr>
      <w:rPr>
        <w:rFonts w:hint="default"/>
      </w:rPr>
    </w:lvl>
  </w:abstractNum>
  <w:abstractNum w:abstractNumId="34">
    <w:nsid w:val="54632751"/>
    <w:multiLevelType w:val="multilevel"/>
    <w:tmpl w:val="54632751"/>
    <w:lvl w:ilvl="0" w:tentative="0">
      <w:start w:val="1"/>
      <w:numFmt w:val="none"/>
      <w:pStyle w:val="9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35">
    <w:nsid w:val="557C2AF5"/>
    <w:multiLevelType w:val="multilevel"/>
    <w:tmpl w:val="557C2AF5"/>
    <w:lvl w:ilvl="0" w:tentative="0">
      <w:start w:val="1"/>
      <w:numFmt w:val="decimal"/>
      <w:pStyle w:val="12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8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7">
    <w:nsid w:val="564D2089"/>
    <w:multiLevelType w:val="multilevel"/>
    <w:tmpl w:val="564D2089"/>
    <w:lvl w:ilvl="0" w:tentative="0">
      <w:start w:val="1"/>
      <w:numFmt w:val="none"/>
      <w:pStyle w:val="11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577B4915"/>
    <w:multiLevelType w:val="singleLevel"/>
    <w:tmpl w:val="577B4915"/>
    <w:lvl w:ilvl="0" w:tentative="0">
      <w:start w:val="1"/>
      <w:numFmt w:val="lowerLetter"/>
      <w:lvlText w:val="%1)"/>
      <w:lvlJc w:val="left"/>
      <w:pPr>
        <w:tabs>
          <w:tab w:val="left" w:pos="420"/>
        </w:tabs>
        <w:ind w:left="425" w:hanging="425"/>
      </w:pPr>
      <w:rPr>
        <w:rFonts w:hint="default"/>
      </w:rPr>
    </w:lvl>
  </w:abstractNum>
  <w:abstractNum w:abstractNumId="39">
    <w:nsid w:val="59516378"/>
    <w:multiLevelType w:val="singleLevel"/>
    <w:tmpl w:val="59516378"/>
    <w:lvl w:ilvl="0" w:tentative="0">
      <w:start w:val="1"/>
      <w:numFmt w:val="lowerLetter"/>
      <w:lvlText w:val="%1)"/>
      <w:lvlJc w:val="left"/>
      <w:pPr>
        <w:tabs>
          <w:tab w:val="left" w:pos="420"/>
        </w:tabs>
        <w:ind w:left="425" w:hanging="425"/>
      </w:pPr>
      <w:rPr>
        <w:rFonts w:hint="default"/>
      </w:rPr>
    </w:lvl>
  </w:abstractNum>
  <w:abstractNum w:abstractNumId="40">
    <w:nsid w:val="5AE31258"/>
    <w:multiLevelType w:val="singleLevel"/>
    <w:tmpl w:val="5AE31258"/>
    <w:lvl w:ilvl="0" w:tentative="0">
      <w:start w:val="1"/>
      <w:numFmt w:val="lowerLetter"/>
      <w:lvlText w:val="%1)"/>
      <w:lvlJc w:val="left"/>
      <w:pPr>
        <w:tabs>
          <w:tab w:val="left" w:pos="420"/>
        </w:tabs>
        <w:ind w:left="425" w:hanging="425"/>
      </w:pPr>
      <w:rPr>
        <w:rFonts w:hint="default"/>
      </w:rPr>
    </w:lvl>
  </w:abstractNum>
  <w:abstractNum w:abstractNumId="41">
    <w:nsid w:val="5F2A0021"/>
    <w:multiLevelType w:val="singleLevel"/>
    <w:tmpl w:val="5F2A0021"/>
    <w:lvl w:ilvl="0" w:tentative="0">
      <w:start w:val="1"/>
      <w:numFmt w:val="lowerLetter"/>
      <w:lvlText w:val="%1)"/>
      <w:lvlJc w:val="left"/>
      <w:pPr>
        <w:tabs>
          <w:tab w:val="left" w:pos="420"/>
        </w:tabs>
        <w:ind w:left="425" w:hanging="425"/>
      </w:pPr>
      <w:rPr>
        <w:rFonts w:hint="default"/>
      </w:rPr>
    </w:lvl>
  </w:abstractNum>
  <w:abstractNum w:abstractNumId="42">
    <w:nsid w:val="60B55DC2"/>
    <w:multiLevelType w:val="multilevel"/>
    <w:tmpl w:val="60B55DC2"/>
    <w:lvl w:ilvl="0" w:tentative="0">
      <w:start w:val="1"/>
      <w:numFmt w:val="upperLetter"/>
      <w:lvlText w:val="%1"/>
      <w:lvlJc w:val="left"/>
      <w:pPr>
        <w:tabs>
          <w:tab w:val="left" w:pos="0"/>
        </w:tabs>
        <w:ind w:hanging="425"/>
      </w:pPr>
      <w:rPr>
        <w:rFonts w:hint="eastAsia" w:cs="Times New Roman"/>
      </w:rPr>
    </w:lvl>
    <w:lvl w:ilvl="1" w:tentative="0">
      <w:start w:val="1"/>
      <w:numFmt w:val="decimal"/>
      <w:pStyle w:val="271"/>
      <w:suff w:val="nothing"/>
      <w:lvlText w:val="表%1.%2　"/>
      <w:lvlJc w:val="left"/>
      <w:pPr>
        <w:ind w:left="3261"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abstractNum w:abstractNumId="43">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44">
    <w:nsid w:val="646260FA"/>
    <w:multiLevelType w:val="multilevel"/>
    <w:tmpl w:val="646260FA"/>
    <w:lvl w:ilvl="0" w:tentative="0">
      <w:start w:val="1"/>
      <w:numFmt w:val="decimal"/>
      <w:pStyle w:val="11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5">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46">
    <w:nsid w:val="657D3FBC"/>
    <w:multiLevelType w:val="multilevel"/>
    <w:tmpl w:val="657D3FBC"/>
    <w:lvl w:ilvl="0" w:tentative="0">
      <w:start w:val="1"/>
      <w:numFmt w:val="upperLetter"/>
      <w:pStyle w:val="82"/>
      <w:suff w:val="nothing"/>
      <w:lvlText w:val="附录%1"/>
      <w:lvlJc w:val="left"/>
      <w:pPr>
        <w:ind w:left="0" w:firstLine="0"/>
      </w:pPr>
      <w:rPr>
        <w:rFonts w:hint="eastAsia"/>
        <w:spacing w:val="100"/>
      </w:rPr>
    </w:lvl>
    <w:lvl w:ilvl="1" w:tentative="0">
      <w:start w:val="1"/>
      <w:numFmt w:val="decimal"/>
      <w:pStyle w:val="84"/>
      <w:suff w:val="nothing"/>
      <w:lvlText w:val="%1.%2　"/>
      <w:lvlJc w:val="left"/>
      <w:pPr>
        <w:ind w:left="0" w:firstLine="0"/>
      </w:pPr>
      <w:rPr>
        <w:rFonts w:hint="eastAsia" w:ascii="黑体" w:eastAsia="黑体"/>
        <w:b w:val="0"/>
        <w:i w:val="0"/>
        <w:sz w:val="21"/>
      </w:rPr>
    </w:lvl>
    <w:lvl w:ilvl="2" w:tentative="0">
      <w:start w:val="1"/>
      <w:numFmt w:val="decimal"/>
      <w:pStyle w:val="85"/>
      <w:suff w:val="nothing"/>
      <w:lvlText w:val="%1.%2.%3　"/>
      <w:lvlJc w:val="left"/>
      <w:pPr>
        <w:ind w:left="0" w:firstLine="0"/>
      </w:pPr>
      <w:rPr>
        <w:rFonts w:hint="eastAsia" w:ascii="黑体" w:eastAsia="黑体"/>
        <w:b w:val="0"/>
        <w:i w:val="0"/>
        <w:sz w:val="21"/>
      </w:rPr>
    </w:lvl>
    <w:lvl w:ilvl="3" w:tentative="0">
      <w:start w:val="1"/>
      <w:numFmt w:val="decimal"/>
      <w:pStyle w:val="87"/>
      <w:suff w:val="nothing"/>
      <w:lvlText w:val="%1.%2.%3.%4　"/>
      <w:lvlJc w:val="left"/>
      <w:pPr>
        <w:ind w:left="0"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7">
    <w:nsid w:val="66CA1FF1"/>
    <w:multiLevelType w:val="singleLevel"/>
    <w:tmpl w:val="66CA1FF1"/>
    <w:lvl w:ilvl="0" w:tentative="0">
      <w:start w:val="1"/>
      <w:numFmt w:val="lowerLetter"/>
      <w:lvlText w:val="%1)"/>
      <w:lvlJc w:val="left"/>
      <w:pPr>
        <w:tabs>
          <w:tab w:val="left" w:pos="420"/>
        </w:tabs>
        <w:ind w:left="425" w:hanging="425"/>
      </w:pPr>
      <w:rPr>
        <w:rFonts w:hint="default"/>
      </w:rPr>
    </w:lvl>
  </w:abstractNum>
  <w:abstractNum w:abstractNumId="48">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49">
    <w:nsid w:val="6CA41985"/>
    <w:multiLevelType w:val="multilevel"/>
    <w:tmpl w:val="6CA41985"/>
    <w:lvl w:ilvl="0" w:tentative="0">
      <w:start w:val="1"/>
      <w:numFmt w:val="decimal"/>
      <w:pStyle w:val="1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0">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6CEA2025"/>
    <w:multiLevelType w:val="multilevel"/>
    <w:tmpl w:val="6CEA2025"/>
    <w:lvl w:ilvl="0" w:tentative="0">
      <w:start w:val="1"/>
      <w:numFmt w:val="none"/>
      <w:pStyle w:val="158"/>
      <w:suff w:val="nothing"/>
      <w:lvlText w:val="%1"/>
      <w:lvlJc w:val="left"/>
      <w:pPr>
        <w:ind w:left="0" w:firstLine="0"/>
      </w:pPr>
      <w:rPr>
        <w:rFonts w:hint="eastAsia"/>
      </w:rPr>
    </w:lvl>
    <w:lvl w:ilvl="1" w:tentative="0">
      <w:start w:val="1"/>
      <w:numFmt w:val="decimal"/>
      <w:pStyle w:val="110"/>
      <w:suff w:val="nothing"/>
      <w:lvlText w:val="%1%2　"/>
      <w:lvlJc w:val="left"/>
      <w:pPr>
        <w:ind w:left="0" w:firstLine="0"/>
      </w:pPr>
      <w:rPr>
        <w:rFonts w:hint="eastAsia" w:ascii="黑体" w:eastAsia="黑体"/>
        <w:b w:val="0"/>
        <w:i w:val="0"/>
        <w:sz w:val="21"/>
      </w:rPr>
    </w:lvl>
    <w:lvl w:ilvl="2" w:tentative="0">
      <w:start w:val="1"/>
      <w:numFmt w:val="decimal"/>
      <w:pStyle w:val="11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71"/>
      <w:suff w:val="nothing"/>
      <w:lvlText w:val="%1%2.%3.%4　"/>
      <w:lvlJc w:val="left"/>
      <w:pPr>
        <w:ind w:left="0" w:firstLine="0"/>
      </w:pPr>
      <w:rPr>
        <w:rFonts w:hint="eastAsia" w:ascii="黑体" w:eastAsia="黑体"/>
        <w:b w:val="0"/>
        <w:i w:val="0"/>
        <w:sz w:val="21"/>
      </w:rPr>
    </w:lvl>
    <w:lvl w:ilvl="4" w:tentative="0">
      <w:start w:val="1"/>
      <w:numFmt w:val="decimal"/>
      <w:pStyle w:val="100"/>
      <w:suff w:val="nothing"/>
      <w:lvlText w:val="%1%2.%3.%4.%5　"/>
      <w:lvlJc w:val="left"/>
      <w:pPr>
        <w:ind w:left="0" w:firstLine="0"/>
      </w:pPr>
      <w:rPr>
        <w:rFonts w:hint="eastAsia" w:ascii="黑体" w:eastAsia="黑体"/>
        <w:b w:val="0"/>
        <w:i w:val="0"/>
        <w:sz w:val="21"/>
      </w:rPr>
    </w:lvl>
    <w:lvl w:ilvl="5" w:tentative="0">
      <w:start w:val="1"/>
      <w:numFmt w:val="decimal"/>
      <w:pStyle w:val="104"/>
      <w:suff w:val="nothing"/>
      <w:lvlText w:val="%1%2.%3.%4.%5.%6　"/>
      <w:lvlJc w:val="left"/>
      <w:pPr>
        <w:ind w:left="0" w:firstLine="0"/>
      </w:pPr>
      <w:rPr>
        <w:rFonts w:hint="eastAsia" w:ascii="黑体" w:eastAsia="黑体"/>
        <w:b w:val="0"/>
        <w:i w:val="0"/>
        <w:sz w:val="21"/>
      </w:rPr>
    </w:lvl>
    <w:lvl w:ilvl="6" w:tentative="0">
      <w:start w:val="1"/>
      <w:numFmt w:val="decimal"/>
      <w:pStyle w:val="10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2">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3">
    <w:nsid w:val="6DF35F19"/>
    <w:multiLevelType w:val="multilevel"/>
    <w:tmpl w:val="6DF35F19"/>
    <w:lvl w:ilvl="0" w:tentative="0">
      <w:start w:val="1"/>
      <w:numFmt w:val="decimal"/>
      <w:pStyle w:val="121"/>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4">
    <w:nsid w:val="723D5B6D"/>
    <w:multiLevelType w:val="singleLevel"/>
    <w:tmpl w:val="723D5B6D"/>
    <w:lvl w:ilvl="0" w:tentative="0">
      <w:start w:val="1"/>
      <w:numFmt w:val="lowerLetter"/>
      <w:lvlText w:val="%1)"/>
      <w:lvlJc w:val="left"/>
      <w:pPr>
        <w:tabs>
          <w:tab w:val="left" w:pos="420"/>
        </w:tabs>
        <w:ind w:left="425" w:hanging="425"/>
      </w:pPr>
      <w:rPr>
        <w:rFonts w:hint="default"/>
      </w:rPr>
    </w:lvl>
  </w:abstractNum>
  <w:abstractNum w:abstractNumId="55">
    <w:nsid w:val="724E118A"/>
    <w:multiLevelType w:val="singleLevel"/>
    <w:tmpl w:val="724E118A"/>
    <w:lvl w:ilvl="0" w:tentative="0">
      <w:start w:val="1"/>
      <w:numFmt w:val="lowerLetter"/>
      <w:lvlText w:val="%1）"/>
      <w:lvlJc w:val="left"/>
      <w:pPr>
        <w:tabs>
          <w:tab w:val="left" w:pos="840"/>
        </w:tabs>
        <w:ind w:left="845" w:hanging="425"/>
      </w:pPr>
      <w:rPr>
        <w:rFonts w:hint="default"/>
      </w:rPr>
    </w:lvl>
  </w:abstractNum>
  <w:abstractNum w:abstractNumId="56">
    <w:nsid w:val="76933334"/>
    <w:multiLevelType w:val="multilevel"/>
    <w:tmpl w:val="76933334"/>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51"/>
  </w:num>
  <w:num w:numId="3">
    <w:abstractNumId w:val="10"/>
  </w:num>
  <w:num w:numId="4">
    <w:abstractNumId w:val="46"/>
  </w:num>
  <w:num w:numId="5">
    <w:abstractNumId w:val="36"/>
  </w:num>
  <w:num w:numId="6">
    <w:abstractNumId w:val="28"/>
  </w:num>
  <w:num w:numId="7">
    <w:abstractNumId w:val="17"/>
  </w:num>
  <w:num w:numId="8">
    <w:abstractNumId w:val="8"/>
  </w:num>
  <w:num w:numId="9">
    <w:abstractNumId w:val="19"/>
  </w:num>
  <w:num w:numId="10">
    <w:abstractNumId w:val="34"/>
  </w:num>
  <w:num w:numId="11">
    <w:abstractNumId w:val="49"/>
  </w:num>
  <w:num w:numId="12">
    <w:abstractNumId w:val="22"/>
  </w:num>
  <w:num w:numId="13">
    <w:abstractNumId w:val="26"/>
  </w:num>
  <w:num w:numId="14">
    <w:abstractNumId w:val="16"/>
  </w:num>
  <w:num w:numId="15">
    <w:abstractNumId w:val="37"/>
  </w:num>
  <w:num w:numId="16">
    <w:abstractNumId w:val="44"/>
  </w:num>
  <w:num w:numId="17">
    <w:abstractNumId w:val="35"/>
  </w:num>
  <w:num w:numId="18">
    <w:abstractNumId w:val="53"/>
  </w:num>
  <w:num w:numId="19">
    <w:abstractNumId w:val="31"/>
  </w:num>
  <w:num w:numId="20">
    <w:abstractNumId w:val="5"/>
  </w:num>
  <w:num w:numId="21">
    <w:abstractNumId w:val="21"/>
  </w:num>
  <w:num w:numId="22">
    <w:abstractNumId w:val="56"/>
  </w:num>
  <w:num w:numId="23">
    <w:abstractNumId w:val="43"/>
  </w:num>
  <w:num w:numId="24">
    <w:abstractNumId w:val="11"/>
  </w:num>
  <w:num w:numId="25">
    <w:abstractNumId w:val="50"/>
  </w:num>
  <w:num w:numId="26">
    <w:abstractNumId w:val="52"/>
  </w:num>
  <w:num w:numId="27">
    <w:abstractNumId w:val="7"/>
  </w:num>
  <w:num w:numId="28">
    <w:abstractNumId w:val="9"/>
  </w:num>
  <w:num w:numId="29">
    <w:abstractNumId w:val="29"/>
  </w:num>
  <w:num w:numId="30">
    <w:abstractNumId w:val="48"/>
  </w:num>
  <w:num w:numId="31">
    <w:abstractNumId w:val="45"/>
  </w:num>
  <w:num w:numId="32">
    <w:abstractNumId w:val="2"/>
  </w:num>
  <w:num w:numId="33">
    <w:abstractNumId w:val="42"/>
  </w:num>
  <w:num w:numId="34">
    <w:abstractNumId w:val="18"/>
  </w:num>
  <w:num w:numId="35">
    <w:abstractNumId w:val="27"/>
  </w:num>
  <w:num w:numId="36">
    <w:abstractNumId w:val="6"/>
  </w:num>
  <w:num w:numId="37">
    <w:abstractNumId w:val="39"/>
  </w:num>
  <w:num w:numId="38">
    <w:abstractNumId w:val="41"/>
  </w:num>
  <w:num w:numId="39">
    <w:abstractNumId w:val="32"/>
  </w:num>
  <w:num w:numId="40">
    <w:abstractNumId w:val="23"/>
  </w:num>
  <w:num w:numId="41">
    <w:abstractNumId w:val="20"/>
  </w:num>
  <w:num w:numId="42">
    <w:abstractNumId w:val="54"/>
  </w:num>
  <w:num w:numId="43">
    <w:abstractNumId w:val="38"/>
  </w:num>
  <w:num w:numId="44">
    <w:abstractNumId w:val="3"/>
  </w:num>
  <w:num w:numId="45">
    <w:abstractNumId w:val="33"/>
  </w:num>
  <w:num w:numId="46">
    <w:abstractNumId w:val="55"/>
  </w:num>
  <w:num w:numId="47">
    <w:abstractNumId w:val="0"/>
  </w:num>
  <w:num w:numId="48">
    <w:abstractNumId w:val="1"/>
  </w:num>
  <w:num w:numId="49">
    <w:abstractNumId w:val="40"/>
  </w:num>
  <w:num w:numId="50">
    <w:abstractNumId w:val="24"/>
  </w:num>
  <w:num w:numId="51">
    <w:abstractNumId w:val="13"/>
  </w:num>
  <w:num w:numId="52">
    <w:abstractNumId w:val="25"/>
  </w:num>
  <w:num w:numId="53">
    <w:abstractNumId w:val="12"/>
  </w:num>
  <w:num w:numId="54">
    <w:abstractNumId w:val="47"/>
  </w:num>
  <w:num w:numId="55">
    <w:abstractNumId w:val="14"/>
  </w:num>
  <w:num w:numId="56">
    <w:abstractNumId w:val="15"/>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NTIxMGQ3NTZlOWUxM2JiMzY3ZjM2ZDU0NjM4NDMifQ=="/>
  </w:docVars>
  <w:rsids>
    <w:rsidRoot w:val="00F15FCE"/>
    <w:rsid w:val="0000040A"/>
    <w:rsid w:val="00000A94"/>
    <w:rsid w:val="00001972"/>
    <w:rsid w:val="00001B7A"/>
    <w:rsid w:val="00001D9A"/>
    <w:rsid w:val="00004C6B"/>
    <w:rsid w:val="000051B9"/>
    <w:rsid w:val="000077BF"/>
    <w:rsid w:val="00007B3A"/>
    <w:rsid w:val="000107E0"/>
    <w:rsid w:val="00011FDE"/>
    <w:rsid w:val="00012FFD"/>
    <w:rsid w:val="0001380F"/>
    <w:rsid w:val="00014162"/>
    <w:rsid w:val="00014340"/>
    <w:rsid w:val="00014CDA"/>
    <w:rsid w:val="0001508A"/>
    <w:rsid w:val="000151A6"/>
    <w:rsid w:val="00015A72"/>
    <w:rsid w:val="00015B6E"/>
    <w:rsid w:val="00016935"/>
    <w:rsid w:val="00016A9C"/>
    <w:rsid w:val="000200BA"/>
    <w:rsid w:val="00020959"/>
    <w:rsid w:val="00020D24"/>
    <w:rsid w:val="00021E4F"/>
    <w:rsid w:val="00022184"/>
    <w:rsid w:val="00022762"/>
    <w:rsid w:val="000227DE"/>
    <w:rsid w:val="00023474"/>
    <w:rsid w:val="000238E0"/>
    <w:rsid w:val="000249DB"/>
    <w:rsid w:val="00024DB6"/>
    <w:rsid w:val="0002595E"/>
    <w:rsid w:val="0002665E"/>
    <w:rsid w:val="000303C3"/>
    <w:rsid w:val="00030FD1"/>
    <w:rsid w:val="00031B60"/>
    <w:rsid w:val="00031C7B"/>
    <w:rsid w:val="00032E51"/>
    <w:rsid w:val="000331D3"/>
    <w:rsid w:val="000331F4"/>
    <w:rsid w:val="00033DC3"/>
    <w:rsid w:val="00034045"/>
    <w:rsid w:val="000346A5"/>
    <w:rsid w:val="00034C07"/>
    <w:rsid w:val="000359C3"/>
    <w:rsid w:val="00035A7D"/>
    <w:rsid w:val="000360CC"/>
    <w:rsid w:val="0004249A"/>
    <w:rsid w:val="00043282"/>
    <w:rsid w:val="00044125"/>
    <w:rsid w:val="00044286"/>
    <w:rsid w:val="00045C66"/>
    <w:rsid w:val="00045F21"/>
    <w:rsid w:val="00046F93"/>
    <w:rsid w:val="000477CC"/>
    <w:rsid w:val="00047994"/>
    <w:rsid w:val="00047F28"/>
    <w:rsid w:val="000503AA"/>
    <w:rsid w:val="000506A1"/>
    <w:rsid w:val="000509C4"/>
    <w:rsid w:val="000515DD"/>
    <w:rsid w:val="00052501"/>
    <w:rsid w:val="0005265A"/>
    <w:rsid w:val="00052DAE"/>
    <w:rsid w:val="000532DD"/>
    <w:rsid w:val="000535B2"/>
    <w:rsid w:val="000537BE"/>
    <w:rsid w:val="0005398F"/>
    <w:rsid w:val="000539DD"/>
    <w:rsid w:val="00053A71"/>
    <w:rsid w:val="00053BD3"/>
    <w:rsid w:val="000541B3"/>
    <w:rsid w:val="000546E0"/>
    <w:rsid w:val="000547B4"/>
    <w:rsid w:val="00054D38"/>
    <w:rsid w:val="000555F8"/>
    <w:rsid w:val="00055630"/>
    <w:rsid w:val="000556ED"/>
    <w:rsid w:val="00055FE2"/>
    <w:rsid w:val="0005616F"/>
    <w:rsid w:val="00060C2E"/>
    <w:rsid w:val="00061033"/>
    <w:rsid w:val="000619E9"/>
    <w:rsid w:val="00061DBC"/>
    <w:rsid w:val="000622D4"/>
    <w:rsid w:val="00062CCC"/>
    <w:rsid w:val="0006357D"/>
    <w:rsid w:val="0006472D"/>
    <w:rsid w:val="00065131"/>
    <w:rsid w:val="00066E0B"/>
    <w:rsid w:val="00067132"/>
    <w:rsid w:val="00067BA4"/>
    <w:rsid w:val="00067F1E"/>
    <w:rsid w:val="000707A5"/>
    <w:rsid w:val="000710C6"/>
    <w:rsid w:val="00071CC0"/>
    <w:rsid w:val="000721E7"/>
    <w:rsid w:val="00072A33"/>
    <w:rsid w:val="00073C8C"/>
    <w:rsid w:val="000743ED"/>
    <w:rsid w:val="00077A26"/>
    <w:rsid w:val="00077B64"/>
    <w:rsid w:val="0008072C"/>
    <w:rsid w:val="000808A1"/>
    <w:rsid w:val="00080A1C"/>
    <w:rsid w:val="000821D0"/>
    <w:rsid w:val="00082317"/>
    <w:rsid w:val="0008236E"/>
    <w:rsid w:val="00082D36"/>
    <w:rsid w:val="00083D2C"/>
    <w:rsid w:val="000847B5"/>
    <w:rsid w:val="0008480B"/>
    <w:rsid w:val="000853D0"/>
    <w:rsid w:val="000859EF"/>
    <w:rsid w:val="00086AA1"/>
    <w:rsid w:val="00087869"/>
    <w:rsid w:val="00087A77"/>
    <w:rsid w:val="0009012C"/>
    <w:rsid w:val="00090CA6"/>
    <w:rsid w:val="000923FA"/>
    <w:rsid w:val="00092B8A"/>
    <w:rsid w:val="00092FB0"/>
    <w:rsid w:val="0009301B"/>
    <w:rsid w:val="000934C5"/>
    <w:rsid w:val="00093D25"/>
    <w:rsid w:val="000943F2"/>
    <w:rsid w:val="00094D73"/>
    <w:rsid w:val="000960BB"/>
    <w:rsid w:val="00096D63"/>
    <w:rsid w:val="000A0925"/>
    <w:rsid w:val="000A0B60"/>
    <w:rsid w:val="000A0DA8"/>
    <w:rsid w:val="000A0EB8"/>
    <w:rsid w:val="000A19FC"/>
    <w:rsid w:val="000A1E35"/>
    <w:rsid w:val="000A296B"/>
    <w:rsid w:val="000A435A"/>
    <w:rsid w:val="000A6071"/>
    <w:rsid w:val="000A7311"/>
    <w:rsid w:val="000A745A"/>
    <w:rsid w:val="000A7602"/>
    <w:rsid w:val="000B0328"/>
    <w:rsid w:val="000B060F"/>
    <w:rsid w:val="000B12F7"/>
    <w:rsid w:val="000B1592"/>
    <w:rsid w:val="000B19B7"/>
    <w:rsid w:val="000B1F28"/>
    <w:rsid w:val="000B1FF2"/>
    <w:rsid w:val="000B2C8B"/>
    <w:rsid w:val="000B389F"/>
    <w:rsid w:val="000B39F4"/>
    <w:rsid w:val="000B3CDA"/>
    <w:rsid w:val="000B486C"/>
    <w:rsid w:val="000B6A0B"/>
    <w:rsid w:val="000B7CD6"/>
    <w:rsid w:val="000C09B0"/>
    <w:rsid w:val="000C0F6C"/>
    <w:rsid w:val="000C11DB"/>
    <w:rsid w:val="000C15D9"/>
    <w:rsid w:val="000C1D33"/>
    <w:rsid w:val="000C2FBD"/>
    <w:rsid w:val="000C3ADF"/>
    <w:rsid w:val="000C3E10"/>
    <w:rsid w:val="000C3FF9"/>
    <w:rsid w:val="000C4B41"/>
    <w:rsid w:val="000C57D6"/>
    <w:rsid w:val="000C7119"/>
    <w:rsid w:val="000C7666"/>
    <w:rsid w:val="000D0431"/>
    <w:rsid w:val="000D0A9C"/>
    <w:rsid w:val="000D1591"/>
    <w:rsid w:val="000D1795"/>
    <w:rsid w:val="000D227A"/>
    <w:rsid w:val="000D28EF"/>
    <w:rsid w:val="000D329A"/>
    <w:rsid w:val="000D4B9C"/>
    <w:rsid w:val="000D4EB6"/>
    <w:rsid w:val="000D58CB"/>
    <w:rsid w:val="000D753B"/>
    <w:rsid w:val="000E3103"/>
    <w:rsid w:val="000E3276"/>
    <w:rsid w:val="000E44B3"/>
    <w:rsid w:val="000E4C9E"/>
    <w:rsid w:val="000E5B19"/>
    <w:rsid w:val="000E6FD7"/>
    <w:rsid w:val="000E78E7"/>
    <w:rsid w:val="000E79CB"/>
    <w:rsid w:val="000E7BB9"/>
    <w:rsid w:val="000E7F55"/>
    <w:rsid w:val="000F05BC"/>
    <w:rsid w:val="000F06E1"/>
    <w:rsid w:val="000F0E3C"/>
    <w:rsid w:val="000F167D"/>
    <w:rsid w:val="000F19D5"/>
    <w:rsid w:val="000F2E41"/>
    <w:rsid w:val="000F355B"/>
    <w:rsid w:val="000F4AEA"/>
    <w:rsid w:val="000F51E4"/>
    <w:rsid w:val="000F6501"/>
    <w:rsid w:val="000F6683"/>
    <w:rsid w:val="000F67E9"/>
    <w:rsid w:val="00100063"/>
    <w:rsid w:val="00100BD9"/>
    <w:rsid w:val="0010124B"/>
    <w:rsid w:val="0010132D"/>
    <w:rsid w:val="001016A7"/>
    <w:rsid w:val="00102959"/>
    <w:rsid w:val="00102CFD"/>
    <w:rsid w:val="0010321A"/>
    <w:rsid w:val="00104926"/>
    <w:rsid w:val="00104A2E"/>
    <w:rsid w:val="0010731D"/>
    <w:rsid w:val="001073A2"/>
    <w:rsid w:val="001079BF"/>
    <w:rsid w:val="00107E86"/>
    <w:rsid w:val="00110048"/>
    <w:rsid w:val="001109E1"/>
    <w:rsid w:val="0011156F"/>
    <w:rsid w:val="001129B8"/>
    <w:rsid w:val="001133CB"/>
    <w:rsid w:val="001134B8"/>
    <w:rsid w:val="00113B1E"/>
    <w:rsid w:val="00114D98"/>
    <w:rsid w:val="00114DED"/>
    <w:rsid w:val="00116F9F"/>
    <w:rsid w:val="0011711C"/>
    <w:rsid w:val="00117C7A"/>
    <w:rsid w:val="00120235"/>
    <w:rsid w:val="00120A27"/>
    <w:rsid w:val="00120F7E"/>
    <w:rsid w:val="0012141C"/>
    <w:rsid w:val="001215A1"/>
    <w:rsid w:val="00121CE3"/>
    <w:rsid w:val="00123381"/>
    <w:rsid w:val="00123402"/>
    <w:rsid w:val="00123A46"/>
    <w:rsid w:val="001245DF"/>
    <w:rsid w:val="001246D8"/>
    <w:rsid w:val="00124E4F"/>
    <w:rsid w:val="00125083"/>
    <w:rsid w:val="00125C4F"/>
    <w:rsid w:val="0012607B"/>
    <w:rsid w:val="001260B7"/>
    <w:rsid w:val="001265CB"/>
    <w:rsid w:val="00127285"/>
    <w:rsid w:val="0013065D"/>
    <w:rsid w:val="00131A78"/>
    <w:rsid w:val="00131EE4"/>
    <w:rsid w:val="00132131"/>
    <w:rsid w:val="001321C6"/>
    <w:rsid w:val="001325C4"/>
    <w:rsid w:val="00133010"/>
    <w:rsid w:val="001337A1"/>
    <w:rsid w:val="00133898"/>
    <w:rsid w:val="001338EE"/>
    <w:rsid w:val="00133AAE"/>
    <w:rsid w:val="00133CB5"/>
    <w:rsid w:val="00135323"/>
    <w:rsid w:val="001356C4"/>
    <w:rsid w:val="001360D8"/>
    <w:rsid w:val="00137954"/>
    <w:rsid w:val="00141114"/>
    <w:rsid w:val="00141832"/>
    <w:rsid w:val="001418DE"/>
    <w:rsid w:val="001423AB"/>
    <w:rsid w:val="00142969"/>
    <w:rsid w:val="001439EA"/>
    <w:rsid w:val="00144B4E"/>
    <w:rsid w:val="001457E7"/>
    <w:rsid w:val="00145B02"/>
    <w:rsid w:val="00145D9D"/>
    <w:rsid w:val="00146388"/>
    <w:rsid w:val="00151060"/>
    <w:rsid w:val="001522BC"/>
    <w:rsid w:val="001524D2"/>
    <w:rsid w:val="001529E5"/>
    <w:rsid w:val="00153765"/>
    <w:rsid w:val="00153C7E"/>
    <w:rsid w:val="00154582"/>
    <w:rsid w:val="0015491A"/>
    <w:rsid w:val="00156B25"/>
    <w:rsid w:val="00156E1A"/>
    <w:rsid w:val="001578C9"/>
    <w:rsid w:val="00157B55"/>
    <w:rsid w:val="00160054"/>
    <w:rsid w:val="001603E9"/>
    <w:rsid w:val="001611E2"/>
    <w:rsid w:val="001618A2"/>
    <w:rsid w:val="00161DF8"/>
    <w:rsid w:val="0016258F"/>
    <w:rsid w:val="001642FA"/>
    <w:rsid w:val="0016449C"/>
    <w:rsid w:val="0016460E"/>
    <w:rsid w:val="001649EB"/>
    <w:rsid w:val="00164BAF"/>
    <w:rsid w:val="00164FA8"/>
    <w:rsid w:val="00165065"/>
    <w:rsid w:val="00165361"/>
    <w:rsid w:val="0016537D"/>
    <w:rsid w:val="001653A4"/>
    <w:rsid w:val="00165434"/>
    <w:rsid w:val="0016580B"/>
    <w:rsid w:val="00165F49"/>
    <w:rsid w:val="001663CB"/>
    <w:rsid w:val="00166850"/>
    <w:rsid w:val="00166B88"/>
    <w:rsid w:val="00166F4F"/>
    <w:rsid w:val="0016718C"/>
    <w:rsid w:val="0016770A"/>
    <w:rsid w:val="00170804"/>
    <w:rsid w:val="001708E9"/>
    <w:rsid w:val="00170C1F"/>
    <w:rsid w:val="00170F72"/>
    <w:rsid w:val="0017111D"/>
    <w:rsid w:val="0017340B"/>
    <w:rsid w:val="00173FB1"/>
    <w:rsid w:val="00175B7C"/>
    <w:rsid w:val="00176004"/>
    <w:rsid w:val="00176994"/>
    <w:rsid w:val="00176DFD"/>
    <w:rsid w:val="00176F7D"/>
    <w:rsid w:val="00177BDD"/>
    <w:rsid w:val="00183CE4"/>
    <w:rsid w:val="001842D5"/>
    <w:rsid w:val="001852C9"/>
    <w:rsid w:val="00185428"/>
    <w:rsid w:val="001879AF"/>
    <w:rsid w:val="00187DD3"/>
    <w:rsid w:val="00190087"/>
    <w:rsid w:val="00190E52"/>
    <w:rsid w:val="00191157"/>
    <w:rsid w:val="001913C4"/>
    <w:rsid w:val="0019348F"/>
    <w:rsid w:val="00193A07"/>
    <w:rsid w:val="00194950"/>
    <w:rsid w:val="00194A98"/>
    <w:rsid w:val="00194C95"/>
    <w:rsid w:val="0019534C"/>
    <w:rsid w:val="0019549E"/>
    <w:rsid w:val="00195C34"/>
    <w:rsid w:val="00195D6A"/>
    <w:rsid w:val="00195EC2"/>
    <w:rsid w:val="00196046"/>
    <w:rsid w:val="001A01C9"/>
    <w:rsid w:val="001A0E82"/>
    <w:rsid w:val="001A1A53"/>
    <w:rsid w:val="001A234A"/>
    <w:rsid w:val="001A2C76"/>
    <w:rsid w:val="001A2D83"/>
    <w:rsid w:val="001A4133"/>
    <w:rsid w:val="001A52D7"/>
    <w:rsid w:val="001A5CFD"/>
    <w:rsid w:val="001A7760"/>
    <w:rsid w:val="001A7FAB"/>
    <w:rsid w:val="001B06E8"/>
    <w:rsid w:val="001B0A95"/>
    <w:rsid w:val="001B0D7F"/>
    <w:rsid w:val="001B1686"/>
    <w:rsid w:val="001B231D"/>
    <w:rsid w:val="001B27D6"/>
    <w:rsid w:val="001B2C5C"/>
    <w:rsid w:val="001B40B6"/>
    <w:rsid w:val="001B4480"/>
    <w:rsid w:val="001B52F8"/>
    <w:rsid w:val="001B5BB7"/>
    <w:rsid w:val="001B5E2E"/>
    <w:rsid w:val="001B6988"/>
    <w:rsid w:val="001B704E"/>
    <w:rsid w:val="001B71AA"/>
    <w:rsid w:val="001B71D0"/>
    <w:rsid w:val="001B71EE"/>
    <w:rsid w:val="001B7D22"/>
    <w:rsid w:val="001C04A8"/>
    <w:rsid w:val="001C1E05"/>
    <w:rsid w:val="001C2C03"/>
    <w:rsid w:val="001C2E08"/>
    <w:rsid w:val="001C42B5"/>
    <w:rsid w:val="001C42F7"/>
    <w:rsid w:val="001C49E5"/>
    <w:rsid w:val="001C4B93"/>
    <w:rsid w:val="001C4F03"/>
    <w:rsid w:val="001C680C"/>
    <w:rsid w:val="001C7FEA"/>
    <w:rsid w:val="001D0499"/>
    <w:rsid w:val="001D0B7B"/>
    <w:rsid w:val="001D0BBE"/>
    <w:rsid w:val="001D0ED4"/>
    <w:rsid w:val="001D0FE7"/>
    <w:rsid w:val="001D1C53"/>
    <w:rsid w:val="001D212F"/>
    <w:rsid w:val="001D28F3"/>
    <w:rsid w:val="001D29D7"/>
    <w:rsid w:val="001D2B75"/>
    <w:rsid w:val="001D2DE7"/>
    <w:rsid w:val="001D411C"/>
    <w:rsid w:val="001E14B7"/>
    <w:rsid w:val="001E1B6A"/>
    <w:rsid w:val="001E2484"/>
    <w:rsid w:val="001E2B82"/>
    <w:rsid w:val="001E30FD"/>
    <w:rsid w:val="001E371B"/>
    <w:rsid w:val="001E3723"/>
    <w:rsid w:val="001E3CC4"/>
    <w:rsid w:val="001E4882"/>
    <w:rsid w:val="001E5023"/>
    <w:rsid w:val="001E5335"/>
    <w:rsid w:val="001E5A01"/>
    <w:rsid w:val="001E5C5C"/>
    <w:rsid w:val="001E738F"/>
    <w:rsid w:val="001E73AB"/>
    <w:rsid w:val="001E7784"/>
    <w:rsid w:val="001E7BB1"/>
    <w:rsid w:val="001F092D"/>
    <w:rsid w:val="001F096B"/>
    <w:rsid w:val="001F143A"/>
    <w:rsid w:val="001F1605"/>
    <w:rsid w:val="001F21FF"/>
    <w:rsid w:val="001F2423"/>
    <w:rsid w:val="001F2508"/>
    <w:rsid w:val="001F4816"/>
    <w:rsid w:val="001F4BEA"/>
    <w:rsid w:val="001F4C3A"/>
    <w:rsid w:val="001F6398"/>
    <w:rsid w:val="001F69B4"/>
    <w:rsid w:val="001F6DB9"/>
    <w:rsid w:val="001F77C7"/>
    <w:rsid w:val="00200183"/>
    <w:rsid w:val="0020107D"/>
    <w:rsid w:val="0020150E"/>
    <w:rsid w:val="00201632"/>
    <w:rsid w:val="00201F57"/>
    <w:rsid w:val="002026F4"/>
    <w:rsid w:val="00202AA4"/>
    <w:rsid w:val="002031F7"/>
    <w:rsid w:val="002040E6"/>
    <w:rsid w:val="0020527B"/>
    <w:rsid w:val="0020685E"/>
    <w:rsid w:val="00207FD8"/>
    <w:rsid w:val="00210B15"/>
    <w:rsid w:val="00210CB5"/>
    <w:rsid w:val="00211772"/>
    <w:rsid w:val="002122F5"/>
    <w:rsid w:val="00212BAE"/>
    <w:rsid w:val="00212C90"/>
    <w:rsid w:val="00213142"/>
    <w:rsid w:val="002133FD"/>
    <w:rsid w:val="00213C28"/>
    <w:rsid w:val="002142EA"/>
    <w:rsid w:val="002204BB"/>
    <w:rsid w:val="0022073F"/>
    <w:rsid w:val="002211D4"/>
    <w:rsid w:val="00221B79"/>
    <w:rsid w:val="00221C6B"/>
    <w:rsid w:val="00222992"/>
    <w:rsid w:val="002244D4"/>
    <w:rsid w:val="002253A1"/>
    <w:rsid w:val="0022574A"/>
    <w:rsid w:val="00225CF8"/>
    <w:rsid w:val="00225FFD"/>
    <w:rsid w:val="00226740"/>
    <w:rsid w:val="00226EC9"/>
    <w:rsid w:val="00227804"/>
    <w:rsid w:val="0022794E"/>
    <w:rsid w:val="0023016B"/>
    <w:rsid w:val="002306B8"/>
    <w:rsid w:val="00231052"/>
    <w:rsid w:val="002323A0"/>
    <w:rsid w:val="00233D64"/>
    <w:rsid w:val="00233E36"/>
    <w:rsid w:val="00234441"/>
    <w:rsid w:val="0023469B"/>
    <w:rsid w:val="0023482A"/>
    <w:rsid w:val="002359CB"/>
    <w:rsid w:val="00236015"/>
    <w:rsid w:val="002373CD"/>
    <w:rsid w:val="00237F99"/>
    <w:rsid w:val="002403C7"/>
    <w:rsid w:val="002407BB"/>
    <w:rsid w:val="002409CC"/>
    <w:rsid w:val="00240BD1"/>
    <w:rsid w:val="00241DBB"/>
    <w:rsid w:val="00242D24"/>
    <w:rsid w:val="002433FE"/>
    <w:rsid w:val="00243540"/>
    <w:rsid w:val="0024497B"/>
    <w:rsid w:val="00244CCF"/>
    <w:rsid w:val="0024515B"/>
    <w:rsid w:val="00245E5D"/>
    <w:rsid w:val="00246021"/>
    <w:rsid w:val="0024666E"/>
    <w:rsid w:val="002478F9"/>
    <w:rsid w:val="00247F52"/>
    <w:rsid w:val="002501DE"/>
    <w:rsid w:val="00250B25"/>
    <w:rsid w:val="00250BBE"/>
    <w:rsid w:val="00250D9A"/>
    <w:rsid w:val="002511E6"/>
    <w:rsid w:val="0025194F"/>
    <w:rsid w:val="00252246"/>
    <w:rsid w:val="00253036"/>
    <w:rsid w:val="0025395C"/>
    <w:rsid w:val="0025429F"/>
    <w:rsid w:val="00254A3C"/>
    <w:rsid w:val="00254DDB"/>
    <w:rsid w:val="0025545A"/>
    <w:rsid w:val="00255617"/>
    <w:rsid w:val="0025567D"/>
    <w:rsid w:val="00255BF8"/>
    <w:rsid w:val="002563EB"/>
    <w:rsid w:val="00256D7F"/>
    <w:rsid w:val="00260C28"/>
    <w:rsid w:val="0026148A"/>
    <w:rsid w:val="002623F3"/>
    <w:rsid w:val="00262696"/>
    <w:rsid w:val="00262942"/>
    <w:rsid w:val="00262DF3"/>
    <w:rsid w:val="0026345C"/>
    <w:rsid w:val="002636AC"/>
    <w:rsid w:val="002643A0"/>
    <w:rsid w:val="002643C3"/>
    <w:rsid w:val="00264A0C"/>
    <w:rsid w:val="00264B32"/>
    <w:rsid w:val="00264E34"/>
    <w:rsid w:val="002672F4"/>
    <w:rsid w:val="0026759E"/>
    <w:rsid w:val="00267EF4"/>
    <w:rsid w:val="00270187"/>
    <w:rsid w:val="0027034D"/>
    <w:rsid w:val="00270CB8"/>
    <w:rsid w:val="002713E3"/>
    <w:rsid w:val="00272B08"/>
    <w:rsid w:val="00273057"/>
    <w:rsid w:val="002734F2"/>
    <w:rsid w:val="00273C7A"/>
    <w:rsid w:val="002744CB"/>
    <w:rsid w:val="00275803"/>
    <w:rsid w:val="00276358"/>
    <w:rsid w:val="0027700B"/>
    <w:rsid w:val="00280D03"/>
    <w:rsid w:val="0028140D"/>
    <w:rsid w:val="00281BB8"/>
    <w:rsid w:val="00281CAC"/>
    <w:rsid w:val="00281E9E"/>
    <w:rsid w:val="002824C0"/>
    <w:rsid w:val="00282DB0"/>
    <w:rsid w:val="00283C94"/>
    <w:rsid w:val="00283D40"/>
    <w:rsid w:val="00285170"/>
    <w:rsid w:val="00285361"/>
    <w:rsid w:val="002857D0"/>
    <w:rsid w:val="0028608C"/>
    <w:rsid w:val="00286AE1"/>
    <w:rsid w:val="0028752A"/>
    <w:rsid w:val="0029011E"/>
    <w:rsid w:val="0029199A"/>
    <w:rsid w:val="00292C4F"/>
    <w:rsid w:val="00292D60"/>
    <w:rsid w:val="00294D34"/>
    <w:rsid w:val="00294E3B"/>
    <w:rsid w:val="00295FFE"/>
    <w:rsid w:val="00296193"/>
    <w:rsid w:val="00296578"/>
    <w:rsid w:val="00296C66"/>
    <w:rsid w:val="00296EBE"/>
    <w:rsid w:val="002974E3"/>
    <w:rsid w:val="002A0142"/>
    <w:rsid w:val="002A084B"/>
    <w:rsid w:val="002A1260"/>
    <w:rsid w:val="002A1589"/>
    <w:rsid w:val="002A1608"/>
    <w:rsid w:val="002A203E"/>
    <w:rsid w:val="002A25DC"/>
    <w:rsid w:val="002A3AAB"/>
    <w:rsid w:val="002A41EE"/>
    <w:rsid w:val="002A4441"/>
    <w:rsid w:val="002A47E8"/>
    <w:rsid w:val="002A4A5B"/>
    <w:rsid w:val="002A4CEA"/>
    <w:rsid w:val="002A4E1F"/>
    <w:rsid w:val="002A5977"/>
    <w:rsid w:val="002A5A13"/>
    <w:rsid w:val="002A6C32"/>
    <w:rsid w:val="002A6F0B"/>
    <w:rsid w:val="002A6FE9"/>
    <w:rsid w:val="002A7C02"/>
    <w:rsid w:val="002A7F44"/>
    <w:rsid w:val="002B0C40"/>
    <w:rsid w:val="002B1731"/>
    <w:rsid w:val="002B1966"/>
    <w:rsid w:val="002B279C"/>
    <w:rsid w:val="002B38AE"/>
    <w:rsid w:val="002B3BAE"/>
    <w:rsid w:val="002B4508"/>
    <w:rsid w:val="002B4927"/>
    <w:rsid w:val="002B5779"/>
    <w:rsid w:val="002B61AC"/>
    <w:rsid w:val="002B6880"/>
    <w:rsid w:val="002B7332"/>
    <w:rsid w:val="002B76B3"/>
    <w:rsid w:val="002B7F51"/>
    <w:rsid w:val="002C09E7"/>
    <w:rsid w:val="002C1560"/>
    <w:rsid w:val="002C1631"/>
    <w:rsid w:val="002C1B28"/>
    <w:rsid w:val="002C2115"/>
    <w:rsid w:val="002C3F07"/>
    <w:rsid w:val="002C418A"/>
    <w:rsid w:val="002C4714"/>
    <w:rsid w:val="002C4F96"/>
    <w:rsid w:val="002C5278"/>
    <w:rsid w:val="002C597A"/>
    <w:rsid w:val="002C6393"/>
    <w:rsid w:val="002C63D3"/>
    <w:rsid w:val="002C66D5"/>
    <w:rsid w:val="002C76D1"/>
    <w:rsid w:val="002C7EBB"/>
    <w:rsid w:val="002D06C1"/>
    <w:rsid w:val="002D39A6"/>
    <w:rsid w:val="002D3C03"/>
    <w:rsid w:val="002D42B5"/>
    <w:rsid w:val="002D4E19"/>
    <w:rsid w:val="002D4F1A"/>
    <w:rsid w:val="002D6EC6"/>
    <w:rsid w:val="002D7126"/>
    <w:rsid w:val="002D72EC"/>
    <w:rsid w:val="002D79AC"/>
    <w:rsid w:val="002E039D"/>
    <w:rsid w:val="002E2C9C"/>
    <w:rsid w:val="002E4138"/>
    <w:rsid w:val="002E41B6"/>
    <w:rsid w:val="002E438E"/>
    <w:rsid w:val="002E47C4"/>
    <w:rsid w:val="002E4D5A"/>
    <w:rsid w:val="002E6326"/>
    <w:rsid w:val="002F2E91"/>
    <w:rsid w:val="002F30E0"/>
    <w:rsid w:val="002F35E4"/>
    <w:rsid w:val="002F3730"/>
    <w:rsid w:val="002F38E1"/>
    <w:rsid w:val="002F43CF"/>
    <w:rsid w:val="002F47A4"/>
    <w:rsid w:val="002F67B1"/>
    <w:rsid w:val="002F7070"/>
    <w:rsid w:val="002F7832"/>
    <w:rsid w:val="002F7AF6"/>
    <w:rsid w:val="002F7B18"/>
    <w:rsid w:val="00300337"/>
    <w:rsid w:val="003007E2"/>
    <w:rsid w:val="00300E63"/>
    <w:rsid w:val="003015FA"/>
    <w:rsid w:val="003018F3"/>
    <w:rsid w:val="0030230E"/>
    <w:rsid w:val="00302EF4"/>
    <w:rsid w:val="00302F5F"/>
    <w:rsid w:val="00303978"/>
    <w:rsid w:val="00303B67"/>
    <w:rsid w:val="00304068"/>
    <w:rsid w:val="00304314"/>
    <w:rsid w:val="0030441D"/>
    <w:rsid w:val="00304493"/>
    <w:rsid w:val="003046CB"/>
    <w:rsid w:val="00304B97"/>
    <w:rsid w:val="003050E8"/>
    <w:rsid w:val="00305FD4"/>
    <w:rsid w:val="00306063"/>
    <w:rsid w:val="0031075C"/>
    <w:rsid w:val="00310E12"/>
    <w:rsid w:val="003113FE"/>
    <w:rsid w:val="00312DDA"/>
    <w:rsid w:val="00313B85"/>
    <w:rsid w:val="00314631"/>
    <w:rsid w:val="00314BDF"/>
    <w:rsid w:val="00315E99"/>
    <w:rsid w:val="003177B4"/>
    <w:rsid w:val="00317988"/>
    <w:rsid w:val="00320D0A"/>
    <w:rsid w:val="00322017"/>
    <w:rsid w:val="003221B4"/>
    <w:rsid w:val="00322E62"/>
    <w:rsid w:val="00323C0B"/>
    <w:rsid w:val="00324EDD"/>
    <w:rsid w:val="003256C0"/>
    <w:rsid w:val="00333876"/>
    <w:rsid w:val="003350BE"/>
    <w:rsid w:val="00335B0E"/>
    <w:rsid w:val="00336C64"/>
    <w:rsid w:val="00337162"/>
    <w:rsid w:val="00337903"/>
    <w:rsid w:val="00337D92"/>
    <w:rsid w:val="003402AC"/>
    <w:rsid w:val="003405FF"/>
    <w:rsid w:val="00340F33"/>
    <w:rsid w:val="0034194F"/>
    <w:rsid w:val="003443C6"/>
    <w:rsid w:val="00344605"/>
    <w:rsid w:val="00344858"/>
    <w:rsid w:val="0034495F"/>
    <w:rsid w:val="00344E11"/>
    <w:rsid w:val="0034544F"/>
    <w:rsid w:val="00345817"/>
    <w:rsid w:val="00345D16"/>
    <w:rsid w:val="003474AA"/>
    <w:rsid w:val="00350D1D"/>
    <w:rsid w:val="0035120C"/>
    <w:rsid w:val="003515FA"/>
    <w:rsid w:val="003519AC"/>
    <w:rsid w:val="00352318"/>
    <w:rsid w:val="003526D5"/>
    <w:rsid w:val="00352C83"/>
    <w:rsid w:val="003536E0"/>
    <w:rsid w:val="003553D2"/>
    <w:rsid w:val="00355832"/>
    <w:rsid w:val="00355D02"/>
    <w:rsid w:val="00356F74"/>
    <w:rsid w:val="00357D53"/>
    <w:rsid w:val="00360298"/>
    <w:rsid w:val="00361531"/>
    <w:rsid w:val="003615D2"/>
    <w:rsid w:val="003629E2"/>
    <w:rsid w:val="0036346B"/>
    <w:rsid w:val="00363B17"/>
    <w:rsid w:val="0036429C"/>
    <w:rsid w:val="00364A53"/>
    <w:rsid w:val="00364B95"/>
    <w:rsid w:val="0036536F"/>
    <w:rsid w:val="003654CB"/>
    <w:rsid w:val="00365F86"/>
    <w:rsid w:val="00365F87"/>
    <w:rsid w:val="00366172"/>
    <w:rsid w:val="003665F5"/>
    <w:rsid w:val="00367030"/>
    <w:rsid w:val="00367A91"/>
    <w:rsid w:val="003705F4"/>
    <w:rsid w:val="00370791"/>
    <w:rsid w:val="00370D58"/>
    <w:rsid w:val="003711AE"/>
    <w:rsid w:val="00371316"/>
    <w:rsid w:val="0037228B"/>
    <w:rsid w:val="003722AC"/>
    <w:rsid w:val="00372FCA"/>
    <w:rsid w:val="00373702"/>
    <w:rsid w:val="003741D4"/>
    <w:rsid w:val="00374B2B"/>
    <w:rsid w:val="003750B9"/>
    <w:rsid w:val="00376589"/>
    <w:rsid w:val="00376713"/>
    <w:rsid w:val="00380798"/>
    <w:rsid w:val="00381815"/>
    <w:rsid w:val="003819AF"/>
    <w:rsid w:val="00381C29"/>
    <w:rsid w:val="003820E9"/>
    <w:rsid w:val="00382CFA"/>
    <w:rsid w:val="00382DE7"/>
    <w:rsid w:val="003831C3"/>
    <w:rsid w:val="00383E24"/>
    <w:rsid w:val="00384B5B"/>
    <w:rsid w:val="00384FFC"/>
    <w:rsid w:val="003860CE"/>
    <w:rsid w:val="00386F0E"/>
    <w:rsid w:val="003872FC"/>
    <w:rsid w:val="00387726"/>
    <w:rsid w:val="00387ADC"/>
    <w:rsid w:val="00387F5E"/>
    <w:rsid w:val="00387FBF"/>
    <w:rsid w:val="00390020"/>
    <w:rsid w:val="003903D6"/>
    <w:rsid w:val="003906E5"/>
    <w:rsid w:val="00390B79"/>
    <w:rsid w:val="00390EE6"/>
    <w:rsid w:val="0039118F"/>
    <w:rsid w:val="00392AD7"/>
    <w:rsid w:val="003938D9"/>
    <w:rsid w:val="00393E3D"/>
    <w:rsid w:val="00394376"/>
    <w:rsid w:val="003943FF"/>
    <w:rsid w:val="00395D09"/>
    <w:rsid w:val="0039651E"/>
    <w:rsid w:val="00396AB6"/>
    <w:rsid w:val="003974EB"/>
    <w:rsid w:val="00397CC5"/>
    <w:rsid w:val="003A1582"/>
    <w:rsid w:val="003A1DD2"/>
    <w:rsid w:val="003A26B4"/>
    <w:rsid w:val="003A2B5A"/>
    <w:rsid w:val="003A4077"/>
    <w:rsid w:val="003A77E3"/>
    <w:rsid w:val="003B011D"/>
    <w:rsid w:val="003B09AD"/>
    <w:rsid w:val="003B14A2"/>
    <w:rsid w:val="003B1F18"/>
    <w:rsid w:val="003B3F71"/>
    <w:rsid w:val="003B4A25"/>
    <w:rsid w:val="003B4FA0"/>
    <w:rsid w:val="003B5BF0"/>
    <w:rsid w:val="003B60BF"/>
    <w:rsid w:val="003B6BE3"/>
    <w:rsid w:val="003B74EF"/>
    <w:rsid w:val="003C010C"/>
    <w:rsid w:val="003C09B3"/>
    <w:rsid w:val="003C0A6C"/>
    <w:rsid w:val="003C0F34"/>
    <w:rsid w:val="003C17F5"/>
    <w:rsid w:val="003C1C80"/>
    <w:rsid w:val="003C2C55"/>
    <w:rsid w:val="003C496D"/>
    <w:rsid w:val="003C4CB5"/>
    <w:rsid w:val="003C5A43"/>
    <w:rsid w:val="003C720D"/>
    <w:rsid w:val="003C7604"/>
    <w:rsid w:val="003D0519"/>
    <w:rsid w:val="003D0635"/>
    <w:rsid w:val="003D0FF6"/>
    <w:rsid w:val="003D1D7E"/>
    <w:rsid w:val="003D2428"/>
    <w:rsid w:val="003D262C"/>
    <w:rsid w:val="003D3DAB"/>
    <w:rsid w:val="003D42DE"/>
    <w:rsid w:val="003D5DF1"/>
    <w:rsid w:val="003D6D61"/>
    <w:rsid w:val="003E0072"/>
    <w:rsid w:val="003E091D"/>
    <w:rsid w:val="003E1339"/>
    <w:rsid w:val="003E1C53"/>
    <w:rsid w:val="003E2A69"/>
    <w:rsid w:val="003E2D49"/>
    <w:rsid w:val="003E2FD4"/>
    <w:rsid w:val="003E46B8"/>
    <w:rsid w:val="003E49F6"/>
    <w:rsid w:val="003E722A"/>
    <w:rsid w:val="003E778B"/>
    <w:rsid w:val="003E7813"/>
    <w:rsid w:val="003F0841"/>
    <w:rsid w:val="003F0B23"/>
    <w:rsid w:val="003F23D3"/>
    <w:rsid w:val="003F3028"/>
    <w:rsid w:val="003F3C74"/>
    <w:rsid w:val="003F3F08"/>
    <w:rsid w:val="003F49F1"/>
    <w:rsid w:val="003F4F48"/>
    <w:rsid w:val="003F6272"/>
    <w:rsid w:val="003F68AE"/>
    <w:rsid w:val="003F7960"/>
    <w:rsid w:val="00400E72"/>
    <w:rsid w:val="00401400"/>
    <w:rsid w:val="00401C18"/>
    <w:rsid w:val="0040213A"/>
    <w:rsid w:val="00403230"/>
    <w:rsid w:val="004040E9"/>
    <w:rsid w:val="00404869"/>
    <w:rsid w:val="0040565C"/>
    <w:rsid w:val="00405884"/>
    <w:rsid w:val="00405C55"/>
    <w:rsid w:val="00405D6A"/>
    <w:rsid w:val="00407D39"/>
    <w:rsid w:val="00411CF9"/>
    <w:rsid w:val="004124B2"/>
    <w:rsid w:val="004132BC"/>
    <w:rsid w:val="0041392F"/>
    <w:rsid w:val="00413E94"/>
    <w:rsid w:val="00414531"/>
    <w:rsid w:val="0041477A"/>
    <w:rsid w:val="0041539A"/>
    <w:rsid w:val="004155F9"/>
    <w:rsid w:val="00416092"/>
    <w:rsid w:val="004167A3"/>
    <w:rsid w:val="0041726A"/>
    <w:rsid w:val="00420B9B"/>
    <w:rsid w:val="004210D2"/>
    <w:rsid w:val="00422790"/>
    <w:rsid w:val="004228C7"/>
    <w:rsid w:val="0042546A"/>
    <w:rsid w:val="00426421"/>
    <w:rsid w:val="00426AE5"/>
    <w:rsid w:val="004273B9"/>
    <w:rsid w:val="004274A5"/>
    <w:rsid w:val="0042753B"/>
    <w:rsid w:val="00427C73"/>
    <w:rsid w:val="00430DD3"/>
    <w:rsid w:val="00430F4D"/>
    <w:rsid w:val="00432510"/>
    <w:rsid w:val="004329E5"/>
    <w:rsid w:val="00432DAA"/>
    <w:rsid w:val="00434305"/>
    <w:rsid w:val="004347D3"/>
    <w:rsid w:val="00435DF7"/>
    <w:rsid w:val="00435F6E"/>
    <w:rsid w:val="00437C38"/>
    <w:rsid w:val="00437F5D"/>
    <w:rsid w:val="0044083F"/>
    <w:rsid w:val="00440CDB"/>
    <w:rsid w:val="00441AE7"/>
    <w:rsid w:val="0044298A"/>
    <w:rsid w:val="00444D8D"/>
    <w:rsid w:val="00445574"/>
    <w:rsid w:val="00445823"/>
    <w:rsid w:val="0044665C"/>
    <w:rsid w:val="004467FB"/>
    <w:rsid w:val="00452014"/>
    <w:rsid w:val="00452D6B"/>
    <w:rsid w:val="00452EDC"/>
    <w:rsid w:val="0045412C"/>
    <w:rsid w:val="00454193"/>
    <w:rsid w:val="00454484"/>
    <w:rsid w:val="0045517B"/>
    <w:rsid w:val="00456109"/>
    <w:rsid w:val="0045717A"/>
    <w:rsid w:val="004577C4"/>
    <w:rsid w:val="004607BC"/>
    <w:rsid w:val="00460F5B"/>
    <w:rsid w:val="00461E68"/>
    <w:rsid w:val="004622A5"/>
    <w:rsid w:val="00462702"/>
    <w:rsid w:val="00463B77"/>
    <w:rsid w:val="00463C7B"/>
    <w:rsid w:val="004644A6"/>
    <w:rsid w:val="004647FB"/>
    <w:rsid w:val="00465336"/>
    <w:rsid w:val="004659BD"/>
    <w:rsid w:val="00465CCB"/>
    <w:rsid w:val="00465F1C"/>
    <w:rsid w:val="00467779"/>
    <w:rsid w:val="0047066E"/>
    <w:rsid w:val="00470775"/>
    <w:rsid w:val="00470BF7"/>
    <w:rsid w:val="0047219B"/>
    <w:rsid w:val="004736DB"/>
    <w:rsid w:val="00473E7A"/>
    <w:rsid w:val="00473E98"/>
    <w:rsid w:val="004746B1"/>
    <w:rsid w:val="0047583F"/>
    <w:rsid w:val="00475AC2"/>
    <w:rsid w:val="004771E9"/>
    <w:rsid w:val="0047782C"/>
    <w:rsid w:val="00477A2C"/>
    <w:rsid w:val="00480262"/>
    <w:rsid w:val="004812A4"/>
    <w:rsid w:val="00484768"/>
    <w:rsid w:val="00484936"/>
    <w:rsid w:val="00484A82"/>
    <w:rsid w:val="00484B2E"/>
    <w:rsid w:val="004856F8"/>
    <w:rsid w:val="00485841"/>
    <w:rsid w:val="00485C89"/>
    <w:rsid w:val="00486BE3"/>
    <w:rsid w:val="00487CE8"/>
    <w:rsid w:val="004905E4"/>
    <w:rsid w:val="00490A89"/>
    <w:rsid w:val="00490AB4"/>
    <w:rsid w:val="0049247B"/>
    <w:rsid w:val="004926DA"/>
    <w:rsid w:val="004927B7"/>
    <w:rsid w:val="00492F02"/>
    <w:rsid w:val="0049336C"/>
    <w:rsid w:val="00493588"/>
    <w:rsid w:val="00493720"/>
    <w:rsid w:val="004939AE"/>
    <w:rsid w:val="00494636"/>
    <w:rsid w:val="004951B3"/>
    <w:rsid w:val="004955D0"/>
    <w:rsid w:val="00496567"/>
    <w:rsid w:val="004A056B"/>
    <w:rsid w:val="004A12DF"/>
    <w:rsid w:val="004A1B54"/>
    <w:rsid w:val="004A1BA8"/>
    <w:rsid w:val="004A2CA2"/>
    <w:rsid w:val="004A3AC6"/>
    <w:rsid w:val="004A4B57"/>
    <w:rsid w:val="004A5624"/>
    <w:rsid w:val="004A63FA"/>
    <w:rsid w:val="004A654B"/>
    <w:rsid w:val="004A6586"/>
    <w:rsid w:val="004A6926"/>
    <w:rsid w:val="004A78DD"/>
    <w:rsid w:val="004B11AD"/>
    <w:rsid w:val="004B121B"/>
    <w:rsid w:val="004B18A3"/>
    <w:rsid w:val="004B1A79"/>
    <w:rsid w:val="004B24E2"/>
    <w:rsid w:val="004B2701"/>
    <w:rsid w:val="004B2E1B"/>
    <w:rsid w:val="004B30CF"/>
    <w:rsid w:val="004B3E93"/>
    <w:rsid w:val="004B5539"/>
    <w:rsid w:val="004C0771"/>
    <w:rsid w:val="004C103F"/>
    <w:rsid w:val="004C1A26"/>
    <w:rsid w:val="004C1FBC"/>
    <w:rsid w:val="004C306F"/>
    <w:rsid w:val="004C3F1D"/>
    <w:rsid w:val="004C42F9"/>
    <w:rsid w:val="004C458D"/>
    <w:rsid w:val="004C4726"/>
    <w:rsid w:val="004C5256"/>
    <w:rsid w:val="004C596B"/>
    <w:rsid w:val="004C6AA7"/>
    <w:rsid w:val="004C6C20"/>
    <w:rsid w:val="004C733A"/>
    <w:rsid w:val="004C737C"/>
    <w:rsid w:val="004C7556"/>
    <w:rsid w:val="004C7E9D"/>
    <w:rsid w:val="004C7F67"/>
    <w:rsid w:val="004D076D"/>
    <w:rsid w:val="004D0C66"/>
    <w:rsid w:val="004D0E23"/>
    <w:rsid w:val="004D0EF1"/>
    <w:rsid w:val="004D175C"/>
    <w:rsid w:val="004D2253"/>
    <w:rsid w:val="004D22BF"/>
    <w:rsid w:val="004D3978"/>
    <w:rsid w:val="004D39D4"/>
    <w:rsid w:val="004D3CC6"/>
    <w:rsid w:val="004D4406"/>
    <w:rsid w:val="004D68A2"/>
    <w:rsid w:val="004D68B1"/>
    <w:rsid w:val="004D7C42"/>
    <w:rsid w:val="004E0465"/>
    <w:rsid w:val="004E062C"/>
    <w:rsid w:val="004E1015"/>
    <w:rsid w:val="004E127B"/>
    <w:rsid w:val="004E1C0A"/>
    <w:rsid w:val="004E2238"/>
    <w:rsid w:val="004E24B1"/>
    <w:rsid w:val="004E30C5"/>
    <w:rsid w:val="004E325B"/>
    <w:rsid w:val="004E35D6"/>
    <w:rsid w:val="004E442C"/>
    <w:rsid w:val="004E4AA5"/>
    <w:rsid w:val="004E4AEE"/>
    <w:rsid w:val="004E4C19"/>
    <w:rsid w:val="004E59E3"/>
    <w:rsid w:val="004E67C0"/>
    <w:rsid w:val="004E69BE"/>
    <w:rsid w:val="004E74F9"/>
    <w:rsid w:val="004F0356"/>
    <w:rsid w:val="004F1817"/>
    <w:rsid w:val="004F1BF8"/>
    <w:rsid w:val="004F1EEF"/>
    <w:rsid w:val="004F26AA"/>
    <w:rsid w:val="004F391A"/>
    <w:rsid w:val="004F3CFB"/>
    <w:rsid w:val="004F41CF"/>
    <w:rsid w:val="004F43A3"/>
    <w:rsid w:val="004F5674"/>
    <w:rsid w:val="004F60A4"/>
    <w:rsid w:val="004F60EF"/>
    <w:rsid w:val="004F6456"/>
    <w:rsid w:val="004F696E"/>
    <w:rsid w:val="004F6C71"/>
    <w:rsid w:val="004F6EF0"/>
    <w:rsid w:val="004F7D85"/>
    <w:rsid w:val="004F7F2D"/>
    <w:rsid w:val="00501134"/>
    <w:rsid w:val="00501139"/>
    <w:rsid w:val="00501B53"/>
    <w:rsid w:val="00501B93"/>
    <w:rsid w:val="00502FDD"/>
    <w:rsid w:val="0050363E"/>
    <w:rsid w:val="0050374E"/>
    <w:rsid w:val="005039BC"/>
    <w:rsid w:val="00504073"/>
    <w:rsid w:val="005043BB"/>
    <w:rsid w:val="00504830"/>
    <w:rsid w:val="00504A3D"/>
    <w:rsid w:val="00504A64"/>
    <w:rsid w:val="0050550B"/>
    <w:rsid w:val="00505767"/>
    <w:rsid w:val="005058F5"/>
    <w:rsid w:val="00505DF6"/>
    <w:rsid w:val="00506688"/>
    <w:rsid w:val="0050672C"/>
    <w:rsid w:val="005073F0"/>
    <w:rsid w:val="00510A7B"/>
    <w:rsid w:val="0051249D"/>
    <w:rsid w:val="00512F6E"/>
    <w:rsid w:val="00513038"/>
    <w:rsid w:val="0051338A"/>
    <w:rsid w:val="00514174"/>
    <w:rsid w:val="00514DF9"/>
    <w:rsid w:val="005152B2"/>
    <w:rsid w:val="0051540F"/>
    <w:rsid w:val="00515CBD"/>
    <w:rsid w:val="00516088"/>
    <w:rsid w:val="00516B0B"/>
    <w:rsid w:val="00517608"/>
    <w:rsid w:val="0052073C"/>
    <w:rsid w:val="005220EC"/>
    <w:rsid w:val="00522472"/>
    <w:rsid w:val="00522B59"/>
    <w:rsid w:val="00523F95"/>
    <w:rsid w:val="00524D65"/>
    <w:rsid w:val="00524FBB"/>
    <w:rsid w:val="00525522"/>
    <w:rsid w:val="00525B16"/>
    <w:rsid w:val="00525C3A"/>
    <w:rsid w:val="005268F5"/>
    <w:rsid w:val="00526B34"/>
    <w:rsid w:val="00526C29"/>
    <w:rsid w:val="00527AD2"/>
    <w:rsid w:val="00527EC6"/>
    <w:rsid w:val="005322E1"/>
    <w:rsid w:val="00533725"/>
    <w:rsid w:val="00533D04"/>
    <w:rsid w:val="00534804"/>
    <w:rsid w:val="00534BDF"/>
    <w:rsid w:val="0053544B"/>
    <w:rsid w:val="005354EA"/>
    <w:rsid w:val="00535EC4"/>
    <w:rsid w:val="00535ED9"/>
    <w:rsid w:val="0053692B"/>
    <w:rsid w:val="005377B9"/>
    <w:rsid w:val="00541853"/>
    <w:rsid w:val="00543BDA"/>
    <w:rsid w:val="005441CC"/>
    <w:rsid w:val="005448A3"/>
    <w:rsid w:val="00544AD4"/>
    <w:rsid w:val="00545099"/>
    <w:rsid w:val="00545257"/>
    <w:rsid w:val="00545EE4"/>
    <w:rsid w:val="00546939"/>
    <w:rsid w:val="00547124"/>
    <w:rsid w:val="005479DA"/>
    <w:rsid w:val="00547BCC"/>
    <w:rsid w:val="0055013B"/>
    <w:rsid w:val="00550642"/>
    <w:rsid w:val="00550983"/>
    <w:rsid w:val="00551108"/>
    <w:rsid w:val="00551A0F"/>
    <w:rsid w:val="00551F6F"/>
    <w:rsid w:val="005526D7"/>
    <w:rsid w:val="0055285C"/>
    <w:rsid w:val="005546F7"/>
    <w:rsid w:val="00554AB5"/>
    <w:rsid w:val="00555044"/>
    <w:rsid w:val="00557C46"/>
    <w:rsid w:val="00561475"/>
    <w:rsid w:val="005632F5"/>
    <w:rsid w:val="00563681"/>
    <w:rsid w:val="0056487B"/>
    <w:rsid w:val="00564FB9"/>
    <w:rsid w:val="00565496"/>
    <w:rsid w:val="00565720"/>
    <w:rsid w:val="005676D3"/>
    <w:rsid w:val="005706D9"/>
    <w:rsid w:val="0057153F"/>
    <w:rsid w:val="00571E10"/>
    <w:rsid w:val="00573D9E"/>
    <w:rsid w:val="00574666"/>
    <w:rsid w:val="00574AF0"/>
    <w:rsid w:val="00576413"/>
    <w:rsid w:val="005801E3"/>
    <w:rsid w:val="00580A88"/>
    <w:rsid w:val="0058100C"/>
    <w:rsid w:val="005810EF"/>
    <w:rsid w:val="005813F4"/>
    <w:rsid w:val="00581802"/>
    <w:rsid w:val="00581B7D"/>
    <w:rsid w:val="005836A8"/>
    <w:rsid w:val="00583AD2"/>
    <w:rsid w:val="00584262"/>
    <w:rsid w:val="005858D9"/>
    <w:rsid w:val="00586630"/>
    <w:rsid w:val="0058672B"/>
    <w:rsid w:val="00587ADD"/>
    <w:rsid w:val="00595934"/>
    <w:rsid w:val="00596160"/>
    <w:rsid w:val="005964C6"/>
    <w:rsid w:val="005966E2"/>
    <w:rsid w:val="00597007"/>
    <w:rsid w:val="00597489"/>
    <w:rsid w:val="005A0229"/>
    <w:rsid w:val="005A086D"/>
    <w:rsid w:val="005A0966"/>
    <w:rsid w:val="005A11B7"/>
    <w:rsid w:val="005A1423"/>
    <w:rsid w:val="005A2326"/>
    <w:rsid w:val="005A260B"/>
    <w:rsid w:val="005A2DD7"/>
    <w:rsid w:val="005A49DA"/>
    <w:rsid w:val="005A4A1B"/>
    <w:rsid w:val="005A4FEB"/>
    <w:rsid w:val="005A50D8"/>
    <w:rsid w:val="005A6E6C"/>
    <w:rsid w:val="005A7830"/>
    <w:rsid w:val="005A7FCE"/>
    <w:rsid w:val="005B0F3F"/>
    <w:rsid w:val="005B0F4B"/>
    <w:rsid w:val="005B2C01"/>
    <w:rsid w:val="005B3174"/>
    <w:rsid w:val="005B4903"/>
    <w:rsid w:val="005B51CE"/>
    <w:rsid w:val="005B5651"/>
    <w:rsid w:val="005B5885"/>
    <w:rsid w:val="005B59D0"/>
    <w:rsid w:val="005B5CD7"/>
    <w:rsid w:val="005B64D2"/>
    <w:rsid w:val="005B6CF6"/>
    <w:rsid w:val="005B7422"/>
    <w:rsid w:val="005B75CE"/>
    <w:rsid w:val="005B7A60"/>
    <w:rsid w:val="005B7FE7"/>
    <w:rsid w:val="005C0945"/>
    <w:rsid w:val="005C1A8F"/>
    <w:rsid w:val="005C29B8"/>
    <w:rsid w:val="005C3672"/>
    <w:rsid w:val="005C4184"/>
    <w:rsid w:val="005C42C0"/>
    <w:rsid w:val="005C4A8C"/>
    <w:rsid w:val="005C4CF9"/>
    <w:rsid w:val="005C5448"/>
    <w:rsid w:val="005C5F21"/>
    <w:rsid w:val="005C65A7"/>
    <w:rsid w:val="005C7156"/>
    <w:rsid w:val="005D0597"/>
    <w:rsid w:val="005D0C75"/>
    <w:rsid w:val="005D18C9"/>
    <w:rsid w:val="005D1923"/>
    <w:rsid w:val="005D1A61"/>
    <w:rsid w:val="005D20B7"/>
    <w:rsid w:val="005D24F8"/>
    <w:rsid w:val="005D396A"/>
    <w:rsid w:val="005D4171"/>
    <w:rsid w:val="005D5745"/>
    <w:rsid w:val="005D5E40"/>
    <w:rsid w:val="005D6A95"/>
    <w:rsid w:val="005D6B2C"/>
    <w:rsid w:val="005D6D9C"/>
    <w:rsid w:val="005D6FCD"/>
    <w:rsid w:val="005E175E"/>
    <w:rsid w:val="005E18FD"/>
    <w:rsid w:val="005E2335"/>
    <w:rsid w:val="005E332E"/>
    <w:rsid w:val="005E34CA"/>
    <w:rsid w:val="005E3C18"/>
    <w:rsid w:val="005E77FD"/>
    <w:rsid w:val="005E7881"/>
    <w:rsid w:val="005E78E0"/>
    <w:rsid w:val="005F0264"/>
    <w:rsid w:val="005F0D9C"/>
    <w:rsid w:val="005F1216"/>
    <w:rsid w:val="005F197D"/>
    <w:rsid w:val="005F238C"/>
    <w:rsid w:val="005F284E"/>
    <w:rsid w:val="005F29C4"/>
    <w:rsid w:val="005F3D65"/>
    <w:rsid w:val="005F400C"/>
    <w:rsid w:val="005F4471"/>
    <w:rsid w:val="005F5D83"/>
    <w:rsid w:val="005F6850"/>
    <w:rsid w:val="005F696B"/>
    <w:rsid w:val="006002B2"/>
    <w:rsid w:val="006013DA"/>
    <w:rsid w:val="006015CE"/>
    <w:rsid w:val="00604784"/>
    <w:rsid w:val="0060479A"/>
    <w:rsid w:val="00604CBE"/>
    <w:rsid w:val="006057E1"/>
    <w:rsid w:val="00606102"/>
    <w:rsid w:val="00606419"/>
    <w:rsid w:val="00607D29"/>
    <w:rsid w:val="006118A6"/>
    <w:rsid w:val="00611DEB"/>
    <w:rsid w:val="00611F6F"/>
    <w:rsid w:val="006124F4"/>
    <w:rsid w:val="00612952"/>
    <w:rsid w:val="006129AC"/>
    <w:rsid w:val="006133D0"/>
    <w:rsid w:val="00613FAA"/>
    <w:rsid w:val="00614CC1"/>
    <w:rsid w:val="006153B7"/>
    <w:rsid w:val="0061540E"/>
    <w:rsid w:val="00615A9D"/>
    <w:rsid w:val="006162BE"/>
    <w:rsid w:val="00616BBB"/>
    <w:rsid w:val="00617387"/>
    <w:rsid w:val="00617725"/>
    <w:rsid w:val="00617BE4"/>
    <w:rsid w:val="006203A5"/>
    <w:rsid w:val="006205B0"/>
    <w:rsid w:val="00621168"/>
    <w:rsid w:val="006237A3"/>
    <w:rsid w:val="006247E1"/>
    <w:rsid w:val="006249E6"/>
    <w:rsid w:val="006252D8"/>
    <w:rsid w:val="006259BC"/>
    <w:rsid w:val="0062636B"/>
    <w:rsid w:val="006269E3"/>
    <w:rsid w:val="00627318"/>
    <w:rsid w:val="00630DDB"/>
    <w:rsid w:val="0063178A"/>
    <w:rsid w:val="00631BCE"/>
    <w:rsid w:val="00632020"/>
    <w:rsid w:val="00632030"/>
    <w:rsid w:val="00632182"/>
    <w:rsid w:val="00632AE0"/>
    <w:rsid w:val="00633A9A"/>
    <w:rsid w:val="00633C17"/>
    <w:rsid w:val="00634526"/>
    <w:rsid w:val="00634D41"/>
    <w:rsid w:val="00634DC0"/>
    <w:rsid w:val="00634F7A"/>
    <w:rsid w:val="006354F8"/>
    <w:rsid w:val="00636E3E"/>
    <w:rsid w:val="0063762D"/>
    <w:rsid w:val="006379F7"/>
    <w:rsid w:val="00637E4D"/>
    <w:rsid w:val="00640620"/>
    <w:rsid w:val="00641A1F"/>
    <w:rsid w:val="0064414D"/>
    <w:rsid w:val="00644238"/>
    <w:rsid w:val="00644268"/>
    <w:rsid w:val="00645904"/>
    <w:rsid w:val="006505A6"/>
    <w:rsid w:val="00651979"/>
    <w:rsid w:val="00651ACB"/>
    <w:rsid w:val="00651C47"/>
    <w:rsid w:val="00652AB2"/>
    <w:rsid w:val="00652CC0"/>
    <w:rsid w:val="00653A07"/>
    <w:rsid w:val="00653B45"/>
    <w:rsid w:val="00653D73"/>
    <w:rsid w:val="006546C3"/>
    <w:rsid w:val="006546DA"/>
    <w:rsid w:val="006549A2"/>
    <w:rsid w:val="00654EC0"/>
    <w:rsid w:val="0065525B"/>
    <w:rsid w:val="006553A7"/>
    <w:rsid w:val="00655D4F"/>
    <w:rsid w:val="0065641C"/>
    <w:rsid w:val="00656BB5"/>
    <w:rsid w:val="00656E41"/>
    <w:rsid w:val="006570F2"/>
    <w:rsid w:val="0066098D"/>
    <w:rsid w:val="0066100F"/>
    <w:rsid w:val="00661D30"/>
    <w:rsid w:val="00662C02"/>
    <w:rsid w:val="0066335F"/>
    <w:rsid w:val="006640E5"/>
    <w:rsid w:val="0066429F"/>
    <w:rsid w:val="006646F1"/>
    <w:rsid w:val="00664929"/>
    <w:rsid w:val="00664F62"/>
    <w:rsid w:val="006655E1"/>
    <w:rsid w:val="006666F1"/>
    <w:rsid w:val="00667818"/>
    <w:rsid w:val="006709BC"/>
    <w:rsid w:val="006710D3"/>
    <w:rsid w:val="00671260"/>
    <w:rsid w:val="00672060"/>
    <w:rsid w:val="00672BFD"/>
    <w:rsid w:val="00674328"/>
    <w:rsid w:val="00674CAA"/>
    <w:rsid w:val="00674E23"/>
    <w:rsid w:val="00676478"/>
    <w:rsid w:val="00677043"/>
    <w:rsid w:val="006770F4"/>
    <w:rsid w:val="00677A84"/>
    <w:rsid w:val="0068026D"/>
    <w:rsid w:val="006805A3"/>
    <w:rsid w:val="00680A27"/>
    <w:rsid w:val="00680ADE"/>
    <w:rsid w:val="006816A4"/>
    <w:rsid w:val="006819B8"/>
    <w:rsid w:val="00682694"/>
    <w:rsid w:val="00682CEE"/>
    <w:rsid w:val="0068329F"/>
    <w:rsid w:val="006840A6"/>
    <w:rsid w:val="00684B3D"/>
    <w:rsid w:val="00684C15"/>
    <w:rsid w:val="006850CD"/>
    <w:rsid w:val="00685AAB"/>
    <w:rsid w:val="00685DCC"/>
    <w:rsid w:val="006875ED"/>
    <w:rsid w:val="006877A2"/>
    <w:rsid w:val="0069206B"/>
    <w:rsid w:val="0069284D"/>
    <w:rsid w:val="00692A61"/>
    <w:rsid w:val="006952C4"/>
    <w:rsid w:val="00695610"/>
    <w:rsid w:val="006962EA"/>
    <w:rsid w:val="0069630F"/>
    <w:rsid w:val="00696AAD"/>
    <w:rsid w:val="00697178"/>
    <w:rsid w:val="006A07AA"/>
    <w:rsid w:val="006A0B53"/>
    <w:rsid w:val="006A1E61"/>
    <w:rsid w:val="006A20A8"/>
    <w:rsid w:val="006A25E5"/>
    <w:rsid w:val="006A29A9"/>
    <w:rsid w:val="006A2B46"/>
    <w:rsid w:val="006A2DFD"/>
    <w:rsid w:val="006A336D"/>
    <w:rsid w:val="006A37B9"/>
    <w:rsid w:val="006A38EC"/>
    <w:rsid w:val="006A3E30"/>
    <w:rsid w:val="006A69D1"/>
    <w:rsid w:val="006A723F"/>
    <w:rsid w:val="006B0013"/>
    <w:rsid w:val="006B2529"/>
    <w:rsid w:val="006B2672"/>
    <w:rsid w:val="006B2FA7"/>
    <w:rsid w:val="006B3FEA"/>
    <w:rsid w:val="006B44E1"/>
    <w:rsid w:val="006B465A"/>
    <w:rsid w:val="006B50E2"/>
    <w:rsid w:val="006B51F0"/>
    <w:rsid w:val="006B527D"/>
    <w:rsid w:val="006B54BF"/>
    <w:rsid w:val="006B5F44"/>
    <w:rsid w:val="006B5F90"/>
    <w:rsid w:val="006B62E4"/>
    <w:rsid w:val="006B6CB0"/>
    <w:rsid w:val="006B6CE3"/>
    <w:rsid w:val="006B7CD3"/>
    <w:rsid w:val="006C0831"/>
    <w:rsid w:val="006C1491"/>
    <w:rsid w:val="006C17ED"/>
    <w:rsid w:val="006C1BBA"/>
    <w:rsid w:val="006C2079"/>
    <w:rsid w:val="006C20E1"/>
    <w:rsid w:val="006C2627"/>
    <w:rsid w:val="006C38B4"/>
    <w:rsid w:val="006C3B53"/>
    <w:rsid w:val="006C478F"/>
    <w:rsid w:val="006C4960"/>
    <w:rsid w:val="006C551F"/>
    <w:rsid w:val="006C559D"/>
    <w:rsid w:val="006C5A62"/>
    <w:rsid w:val="006C5CD9"/>
    <w:rsid w:val="006C5D68"/>
    <w:rsid w:val="006C6976"/>
    <w:rsid w:val="006C6DD0"/>
    <w:rsid w:val="006C6FFC"/>
    <w:rsid w:val="006C7541"/>
    <w:rsid w:val="006D04EA"/>
    <w:rsid w:val="006D16C4"/>
    <w:rsid w:val="006D1DDF"/>
    <w:rsid w:val="006D3E96"/>
    <w:rsid w:val="006D4515"/>
    <w:rsid w:val="006D4BB1"/>
    <w:rsid w:val="006D5102"/>
    <w:rsid w:val="006D5F29"/>
    <w:rsid w:val="006D6593"/>
    <w:rsid w:val="006D7B19"/>
    <w:rsid w:val="006E052F"/>
    <w:rsid w:val="006E0FE1"/>
    <w:rsid w:val="006E2451"/>
    <w:rsid w:val="006E5433"/>
    <w:rsid w:val="006E6A40"/>
    <w:rsid w:val="006E6EAF"/>
    <w:rsid w:val="006E6F75"/>
    <w:rsid w:val="006F03A8"/>
    <w:rsid w:val="006F2ACA"/>
    <w:rsid w:val="006F2ADC"/>
    <w:rsid w:val="006F2BFE"/>
    <w:rsid w:val="006F31E9"/>
    <w:rsid w:val="006F581A"/>
    <w:rsid w:val="006F58D0"/>
    <w:rsid w:val="006F6284"/>
    <w:rsid w:val="006F71DD"/>
    <w:rsid w:val="007002C5"/>
    <w:rsid w:val="00700975"/>
    <w:rsid w:val="007029E0"/>
    <w:rsid w:val="00704387"/>
    <w:rsid w:val="0070483B"/>
    <w:rsid w:val="00705730"/>
    <w:rsid w:val="00706CE0"/>
    <w:rsid w:val="00707044"/>
    <w:rsid w:val="0070713B"/>
    <w:rsid w:val="00707578"/>
    <w:rsid w:val="00707669"/>
    <w:rsid w:val="007102DC"/>
    <w:rsid w:val="007107B2"/>
    <w:rsid w:val="00710820"/>
    <w:rsid w:val="00711668"/>
    <w:rsid w:val="0071173D"/>
    <w:rsid w:val="00711807"/>
    <w:rsid w:val="00711CBA"/>
    <w:rsid w:val="00711D92"/>
    <w:rsid w:val="00711FB5"/>
    <w:rsid w:val="00712113"/>
    <w:rsid w:val="00712A01"/>
    <w:rsid w:val="007136D4"/>
    <w:rsid w:val="00713FFC"/>
    <w:rsid w:val="00714F58"/>
    <w:rsid w:val="0071512B"/>
    <w:rsid w:val="007157C4"/>
    <w:rsid w:val="00716F12"/>
    <w:rsid w:val="00717E81"/>
    <w:rsid w:val="00717ECC"/>
    <w:rsid w:val="00720743"/>
    <w:rsid w:val="00720871"/>
    <w:rsid w:val="00722D37"/>
    <w:rsid w:val="00722E8D"/>
    <w:rsid w:val="00722FBF"/>
    <w:rsid w:val="00722FC2"/>
    <w:rsid w:val="007238DA"/>
    <w:rsid w:val="00723A61"/>
    <w:rsid w:val="00724223"/>
    <w:rsid w:val="00724D6E"/>
    <w:rsid w:val="00725949"/>
    <w:rsid w:val="00725F2B"/>
    <w:rsid w:val="00727724"/>
    <w:rsid w:val="00727BA0"/>
    <w:rsid w:val="00727FA2"/>
    <w:rsid w:val="00730F74"/>
    <w:rsid w:val="00731FE2"/>
    <w:rsid w:val="007322D9"/>
    <w:rsid w:val="00732BC0"/>
    <w:rsid w:val="00734321"/>
    <w:rsid w:val="00734FBB"/>
    <w:rsid w:val="007350D6"/>
    <w:rsid w:val="00735271"/>
    <w:rsid w:val="007356A5"/>
    <w:rsid w:val="0073720F"/>
    <w:rsid w:val="00737796"/>
    <w:rsid w:val="00737A4D"/>
    <w:rsid w:val="007412EC"/>
    <w:rsid w:val="0074165C"/>
    <w:rsid w:val="007417E1"/>
    <w:rsid w:val="007418E2"/>
    <w:rsid w:val="0074201E"/>
    <w:rsid w:val="007432CA"/>
    <w:rsid w:val="007439EB"/>
    <w:rsid w:val="00743C08"/>
    <w:rsid w:val="00743C61"/>
    <w:rsid w:val="00743CB4"/>
    <w:rsid w:val="00743F0A"/>
    <w:rsid w:val="007444E8"/>
    <w:rsid w:val="007446AF"/>
    <w:rsid w:val="0074489A"/>
    <w:rsid w:val="0074548E"/>
    <w:rsid w:val="00745773"/>
    <w:rsid w:val="00746800"/>
    <w:rsid w:val="00747C4F"/>
    <w:rsid w:val="007501A8"/>
    <w:rsid w:val="007509C8"/>
    <w:rsid w:val="00750E0E"/>
    <w:rsid w:val="00750EE1"/>
    <w:rsid w:val="007522E1"/>
    <w:rsid w:val="00752493"/>
    <w:rsid w:val="00752B4D"/>
    <w:rsid w:val="007547B2"/>
    <w:rsid w:val="00755402"/>
    <w:rsid w:val="0075552A"/>
    <w:rsid w:val="00756B26"/>
    <w:rsid w:val="00756D0D"/>
    <w:rsid w:val="00756EDF"/>
    <w:rsid w:val="00757DA4"/>
    <w:rsid w:val="007609A2"/>
    <w:rsid w:val="00761284"/>
    <w:rsid w:val="00761CAD"/>
    <w:rsid w:val="00763D3F"/>
    <w:rsid w:val="007640C8"/>
    <w:rsid w:val="007647A8"/>
    <w:rsid w:val="00765C43"/>
    <w:rsid w:val="00765EFB"/>
    <w:rsid w:val="007664BB"/>
    <w:rsid w:val="007671CA"/>
    <w:rsid w:val="00767809"/>
    <w:rsid w:val="00767C61"/>
    <w:rsid w:val="0077008A"/>
    <w:rsid w:val="00770222"/>
    <w:rsid w:val="00770463"/>
    <w:rsid w:val="0077047A"/>
    <w:rsid w:val="00771F67"/>
    <w:rsid w:val="00772074"/>
    <w:rsid w:val="007722AD"/>
    <w:rsid w:val="007725AB"/>
    <w:rsid w:val="00773066"/>
    <w:rsid w:val="0077353B"/>
    <w:rsid w:val="00773AC3"/>
    <w:rsid w:val="00773C1F"/>
    <w:rsid w:val="00773EA1"/>
    <w:rsid w:val="00774777"/>
    <w:rsid w:val="00774DA4"/>
    <w:rsid w:val="00775813"/>
    <w:rsid w:val="00775B88"/>
    <w:rsid w:val="00775C45"/>
    <w:rsid w:val="00775F55"/>
    <w:rsid w:val="00776599"/>
    <w:rsid w:val="00776AF8"/>
    <w:rsid w:val="00776B8E"/>
    <w:rsid w:val="00777A72"/>
    <w:rsid w:val="00777BC9"/>
    <w:rsid w:val="0078114B"/>
    <w:rsid w:val="00781DD2"/>
    <w:rsid w:val="00781DEF"/>
    <w:rsid w:val="00782995"/>
    <w:rsid w:val="00783D62"/>
    <w:rsid w:val="00783E94"/>
    <w:rsid w:val="00783ECF"/>
    <w:rsid w:val="0078413A"/>
    <w:rsid w:val="007854EC"/>
    <w:rsid w:val="00786E0C"/>
    <w:rsid w:val="00787D3C"/>
    <w:rsid w:val="00787EB7"/>
    <w:rsid w:val="00791E3B"/>
    <w:rsid w:val="0079251F"/>
    <w:rsid w:val="007943FE"/>
    <w:rsid w:val="00794592"/>
    <w:rsid w:val="007945A9"/>
    <w:rsid w:val="007959E8"/>
    <w:rsid w:val="00795E9C"/>
    <w:rsid w:val="007964F3"/>
    <w:rsid w:val="007A00DC"/>
    <w:rsid w:val="007A0101"/>
    <w:rsid w:val="007A0521"/>
    <w:rsid w:val="007A061E"/>
    <w:rsid w:val="007A068D"/>
    <w:rsid w:val="007A092B"/>
    <w:rsid w:val="007A0ACE"/>
    <w:rsid w:val="007A0AE4"/>
    <w:rsid w:val="007A0C33"/>
    <w:rsid w:val="007A100B"/>
    <w:rsid w:val="007A292B"/>
    <w:rsid w:val="007A2E12"/>
    <w:rsid w:val="007A3475"/>
    <w:rsid w:val="007A41C8"/>
    <w:rsid w:val="007A4D77"/>
    <w:rsid w:val="007A54CE"/>
    <w:rsid w:val="007A7BA2"/>
    <w:rsid w:val="007A7FFA"/>
    <w:rsid w:val="007B04EB"/>
    <w:rsid w:val="007B0D4F"/>
    <w:rsid w:val="007B1617"/>
    <w:rsid w:val="007B2F0A"/>
    <w:rsid w:val="007B4578"/>
    <w:rsid w:val="007B461C"/>
    <w:rsid w:val="007B4CAB"/>
    <w:rsid w:val="007B564F"/>
    <w:rsid w:val="007B5943"/>
    <w:rsid w:val="007B5A3D"/>
    <w:rsid w:val="007B5B95"/>
    <w:rsid w:val="007B5D17"/>
    <w:rsid w:val="007B617A"/>
    <w:rsid w:val="007B6705"/>
    <w:rsid w:val="007B67C5"/>
    <w:rsid w:val="007B68EA"/>
    <w:rsid w:val="007C0EBF"/>
    <w:rsid w:val="007C19E8"/>
    <w:rsid w:val="007C2707"/>
    <w:rsid w:val="007C2D89"/>
    <w:rsid w:val="007C4593"/>
    <w:rsid w:val="007C5309"/>
    <w:rsid w:val="007C5E1A"/>
    <w:rsid w:val="007C6069"/>
    <w:rsid w:val="007C6121"/>
    <w:rsid w:val="007C7197"/>
    <w:rsid w:val="007C7924"/>
    <w:rsid w:val="007D06C4"/>
    <w:rsid w:val="007D0B49"/>
    <w:rsid w:val="007D1352"/>
    <w:rsid w:val="007D17CD"/>
    <w:rsid w:val="007D2508"/>
    <w:rsid w:val="007D346A"/>
    <w:rsid w:val="007D4029"/>
    <w:rsid w:val="007D63E5"/>
    <w:rsid w:val="007D6518"/>
    <w:rsid w:val="007D76BD"/>
    <w:rsid w:val="007D797B"/>
    <w:rsid w:val="007E0BF1"/>
    <w:rsid w:val="007E1343"/>
    <w:rsid w:val="007E3DC5"/>
    <w:rsid w:val="007E4491"/>
    <w:rsid w:val="007E54FF"/>
    <w:rsid w:val="007E5AAE"/>
    <w:rsid w:val="007E5FD4"/>
    <w:rsid w:val="007E62B8"/>
    <w:rsid w:val="007E68FC"/>
    <w:rsid w:val="007F0A4C"/>
    <w:rsid w:val="007F0AC0"/>
    <w:rsid w:val="007F0ED8"/>
    <w:rsid w:val="007F0F63"/>
    <w:rsid w:val="007F1037"/>
    <w:rsid w:val="007F2A17"/>
    <w:rsid w:val="007F61E7"/>
    <w:rsid w:val="007F668A"/>
    <w:rsid w:val="007F75CE"/>
    <w:rsid w:val="007F77EE"/>
    <w:rsid w:val="00801216"/>
    <w:rsid w:val="008013A4"/>
    <w:rsid w:val="0080141A"/>
    <w:rsid w:val="00801457"/>
    <w:rsid w:val="008027CE"/>
    <w:rsid w:val="00802F42"/>
    <w:rsid w:val="008036CE"/>
    <w:rsid w:val="00803CEF"/>
    <w:rsid w:val="00804142"/>
    <w:rsid w:val="00804383"/>
    <w:rsid w:val="00804BB7"/>
    <w:rsid w:val="00804E6D"/>
    <w:rsid w:val="00804F93"/>
    <w:rsid w:val="0080507B"/>
    <w:rsid w:val="00805F8C"/>
    <w:rsid w:val="00806362"/>
    <w:rsid w:val="00806499"/>
    <w:rsid w:val="00806617"/>
    <w:rsid w:val="00807395"/>
    <w:rsid w:val="00810257"/>
    <w:rsid w:val="00810499"/>
    <w:rsid w:val="008104F5"/>
    <w:rsid w:val="00810833"/>
    <w:rsid w:val="00811072"/>
    <w:rsid w:val="0081121E"/>
    <w:rsid w:val="00811369"/>
    <w:rsid w:val="00811823"/>
    <w:rsid w:val="00813210"/>
    <w:rsid w:val="008133F5"/>
    <w:rsid w:val="008137C7"/>
    <w:rsid w:val="00813D1C"/>
    <w:rsid w:val="00814A23"/>
    <w:rsid w:val="00814E50"/>
    <w:rsid w:val="00815419"/>
    <w:rsid w:val="008163C8"/>
    <w:rsid w:val="008165D5"/>
    <w:rsid w:val="00817325"/>
    <w:rsid w:val="00817661"/>
    <w:rsid w:val="008209E6"/>
    <w:rsid w:val="00823303"/>
    <w:rsid w:val="008233B2"/>
    <w:rsid w:val="00823A9F"/>
    <w:rsid w:val="00823C44"/>
    <w:rsid w:val="00823C85"/>
    <w:rsid w:val="00825022"/>
    <w:rsid w:val="00825138"/>
    <w:rsid w:val="0082559B"/>
    <w:rsid w:val="00825A97"/>
    <w:rsid w:val="008269DD"/>
    <w:rsid w:val="00826F7C"/>
    <w:rsid w:val="00830621"/>
    <w:rsid w:val="008315D2"/>
    <w:rsid w:val="008324A2"/>
    <w:rsid w:val="00832A63"/>
    <w:rsid w:val="00833134"/>
    <w:rsid w:val="0083348C"/>
    <w:rsid w:val="0083469A"/>
    <w:rsid w:val="008359F2"/>
    <w:rsid w:val="00835DA1"/>
    <w:rsid w:val="008373D3"/>
    <w:rsid w:val="00840146"/>
    <w:rsid w:val="00840617"/>
    <w:rsid w:val="0084105F"/>
    <w:rsid w:val="008418AB"/>
    <w:rsid w:val="00842A47"/>
    <w:rsid w:val="0084306B"/>
    <w:rsid w:val="00843C13"/>
    <w:rsid w:val="00844A72"/>
    <w:rsid w:val="008454F8"/>
    <w:rsid w:val="00846205"/>
    <w:rsid w:val="0084686A"/>
    <w:rsid w:val="00846F1A"/>
    <w:rsid w:val="00847C33"/>
    <w:rsid w:val="00847FA8"/>
    <w:rsid w:val="00851342"/>
    <w:rsid w:val="008514EE"/>
    <w:rsid w:val="0085173A"/>
    <w:rsid w:val="008538B0"/>
    <w:rsid w:val="008546BE"/>
    <w:rsid w:val="00854B47"/>
    <w:rsid w:val="00855951"/>
    <w:rsid w:val="00855BE8"/>
    <w:rsid w:val="00856EB1"/>
    <w:rsid w:val="00857356"/>
    <w:rsid w:val="008579B9"/>
    <w:rsid w:val="00857A7D"/>
    <w:rsid w:val="008603CE"/>
    <w:rsid w:val="008611F9"/>
    <w:rsid w:val="008620FC"/>
    <w:rsid w:val="008627A5"/>
    <w:rsid w:val="0086399B"/>
    <w:rsid w:val="00863E05"/>
    <w:rsid w:val="00864544"/>
    <w:rsid w:val="00865ACA"/>
    <w:rsid w:val="00865C79"/>
    <w:rsid w:val="00865D28"/>
    <w:rsid w:val="00865F85"/>
    <w:rsid w:val="00867B1D"/>
    <w:rsid w:val="00867C10"/>
    <w:rsid w:val="00870439"/>
    <w:rsid w:val="00870732"/>
    <w:rsid w:val="00870DA1"/>
    <w:rsid w:val="00870E57"/>
    <w:rsid w:val="008712BD"/>
    <w:rsid w:val="0087135E"/>
    <w:rsid w:val="0087210E"/>
    <w:rsid w:val="00872FF8"/>
    <w:rsid w:val="008731B7"/>
    <w:rsid w:val="0087472B"/>
    <w:rsid w:val="0087479E"/>
    <w:rsid w:val="00876B0C"/>
    <w:rsid w:val="00876B62"/>
    <w:rsid w:val="00877072"/>
    <w:rsid w:val="008774BE"/>
    <w:rsid w:val="00881512"/>
    <w:rsid w:val="00882E11"/>
    <w:rsid w:val="00883F93"/>
    <w:rsid w:val="00884DB3"/>
    <w:rsid w:val="00884E45"/>
    <w:rsid w:val="008858EA"/>
    <w:rsid w:val="00885A9D"/>
    <w:rsid w:val="00886147"/>
    <w:rsid w:val="008864F6"/>
    <w:rsid w:val="00886E4D"/>
    <w:rsid w:val="0089049D"/>
    <w:rsid w:val="008904C4"/>
    <w:rsid w:val="00890A46"/>
    <w:rsid w:val="00890C77"/>
    <w:rsid w:val="00890F1F"/>
    <w:rsid w:val="008928C9"/>
    <w:rsid w:val="00892DD7"/>
    <w:rsid w:val="008938DC"/>
    <w:rsid w:val="00893E8F"/>
    <w:rsid w:val="00893FD1"/>
    <w:rsid w:val="0089413B"/>
    <w:rsid w:val="00894836"/>
    <w:rsid w:val="00894BB2"/>
    <w:rsid w:val="00895172"/>
    <w:rsid w:val="00895680"/>
    <w:rsid w:val="00895795"/>
    <w:rsid w:val="00895D4C"/>
    <w:rsid w:val="00896DFF"/>
    <w:rsid w:val="008970AD"/>
    <w:rsid w:val="0089762C"/>
    <w:rsid w:val="008A01B9"/>
    <w:rsid w:val="008A0370"/>
    <w:rsid w:val="008A1893"/>
    <w:rsid w:val="008A769A"/>
    <w:rsid w:val="008A78B0"/>
    <w:rsid w:val="008B0BCC"/>
    <w:rsid w:val="008B0C1A"/>
    <w:rsid w:val="008B0C9C"/>
    <w:rsid w:val="008B0EE5"/>
    <w:rsid w:val="008B166D"/>
    <w:rsid w:val="008B17F4"/>
    <w:rsid w:val="008B2508"/>
    <w:rsid w:val="008B3615"/>
    <w:rsid w:val="008B4AC4"/>
    <w:rsid w:val="008B50C8"/>
    <w:rsid w:val="008B5281"/>
    <w:rsid w:val="008B5948"/>
    <w:rsid w:val="008B608E"/>
    <w:rsid w:val="008B6B3E"/>
    <w:rsid w:val="008B7315"/>
    <w:rsid w:val="008B75C3"/>
    <w:rsid w:val="008B7E05"/>
    <w:rsid w:val="008C03E9"/>
    <w:rsid w:val="008C0EB5"/>
    <w:rsid w:val="008C1797"/>
    <w:rsid w:val="008C219C"/>
    <w:rsid w:val="008C45A5"/>
    <w:rsid w:val="008C475E"/>
    <w:rsid w:val="008C619A"/>
    <w:rsid w:val="008C7102"/>
    <w:rsid w:val="008D044A"/>
    <w:rsid w:val="008D0CE8"/>
    <w:rsid w:val="008D0E39"/>
    <w:rsid w:val="008D0ED7"/>
    <w:rsid w:val="008D21A5"/>
    <w:rsid w:val="008D2D1D"/>
    <w:rsid w:val="008D32CA"/>
    <w:rsid w:val="008D453D"/>
    <w:rsid w:val="008D53AD"/>
    <w:rsid w:val="008D562B"/>
    <w:rsid w:val="008D5733"/>
    <w:rsid w:val="008D622B"/>
    <w:rsid w:val="008D666C"/>
    <w:rsid w:val="008D6F6D"/>
    <w:rsid w:val="008D7ABF"/>
    <w:rsid w:val="008D7B54"/>
    <w:rsid w:val="008E0C9D"/>
    <w:rsid w:val="008E1648"/>
    <w:rsid w:val="008E190C"/>
    <w:rsid w:val="008E1B3E"/>
    <w:rsid w:val="008E225D"/>
    <w:rsid w:val="008E2319"/>
    <w:rsid w:val="008E2DB7"/>
    <w:rsid w:val="008E3042"/>
    <w:rsid w:val="008E3847"/>
    <w:rsid w:val="008E3C0A"/>
    <w:rsid w:val="008E4389"/>
    <w:rsid w:val="008E43D0"/>
    <w:rsid w:val="008E4BB6"/>
    <w:rsid w:val="008E5449"/>
    <w:rsid w:val="008E5518"/>
    <w:rsid w:val="008E623E"/>
    <w:rsid w:val="008E652E"/>
    <w:rsid w:val="008E653C"/>
    <w:rsid w:val="008E6A84"/>
    <w:rsid w:val="008E7967"/>
    <w:rsid w:val="008F0CDC"/>
    <w:rsid w:val="008F17A3"/>
    <w:rsid w:val="008F1ED3"/>
    <w:rsid w:val="008F4504"/>
    <w:rsid w:val="008F4C29"/>
    <w:rsid w:val="008F4C87"/>
    <w:rsid w:val="008F64BD"/>
    <w:rsid w:val="008F683F"/>
    <w:rsid w:val="008F70BD"/>
    <w:rsid w:val="008F73BE"/>
    <w:rsid w:val="008F740B"/>
    <w:rsid w:val="008F788F"/>
    <w:rsid w:val="008F7BC5"/>
    <w:rsid w:val="008F7EA2"/>
    <w:rsid w:val="00901301"/>
    <w:rsid w:val="00901845"/>
    <w:rsid w:val="00901CF1"/>
    <w:rsid w:val="00902722"/>
    <w:rsid w:val="009027BC"/>
    <w:rsid w:val="009039F5"/>
    <w:rsid w:val="0090443B"/>
    <w:rsid w:val="00904C79"/>
    <w:rsid w:val="009062E6"/>
    <w:rsid w:val="00906F60"/>
    <w:rsid w:val="009107E4"/>
    <w:rsid w:val="00910ECA"/>
    <w:rsid w:val="00911146"/>
    <w:rsid w:val="00911B1C"/>
    <w:rsid w:val="00911BE5"/>
    <w:rsid w:val="009125A9"/>
    <w:rsid w:val="00912C85"/>
    <w:rsid w:val="00913CA9"/>
    <w:rsid w:val="00913DDC"/>
    <w:rsid w:val="00913EC2"/>
    <w:rsid w:val="00914518"/>
    <w:rsid w:val="009145AE"/>
    <w:rsid w:val="009146CE"/>
    <w:rsid w:val="00914CA7"/>
    <w:rsid w:val="00915C3E"/>
    <w:rsid w:val="009161A8"/>
    <w:rsid w:val="0091673D"/>
    <w:rsid w:val="00916890"/>
    <w:rsid w:val="00920368"/>
    <w:rsid w:val="009207C7"/>
    <w:rsid w:val="009211C9"/>
    <w:rsid w:val="00921AB2"/>
    <w:rsid w:val="009245F5"/>
    <w:rsid w:val="009249EC"/>
    <w:rsid w:val="00926446"/>
    <w:rsid w:val="009273B3"/>
    <w:rsid w:val="009274EF"/>
    <w:rsid w:val="009279C8"/>
    <w:rsid w:val="00927A7E"/>
    <w:rsid w:val="0093057D"/>
    <w:rsid w:val="009305B5"/>
    <w:rsid w:val="00930F97"/>
    <w:rsid w:val="00933C42"/>
    <w:rsid w:val="009342BD"/>
    <w:rsid w:val="00934C12"/>
    <w:rsid w:val="009352B6"/>
    <w:rsid w:val="00935B9C"/>
    <w:rsid w:val="00935D60"/>
    <w:rsid w:val="00940D1E"/>
    <w:rsid w:val="009423A6"/>
    <w:rsid w:val="009429D5"/>
    <w:rsid w:val="00942BF1"/>
    <w:rsid w:val="00943056"/>
    <w:rsid w:val="00943892"/>
    <w:rsid w:val="00945180"/>
    <w:rsid w:val="00945428"/>
    <w:rsid w:val="00945757"/>
    <w:rsid w:val="00945BC8"/>
    <w:rsid w:val="00945E24"/>
    <w:rsid w:val="0094607B"/>
    <w:rsid w:val="00946D36"/>
    <w:rsid w:val="0095127E"/>
    <w:rsid w:val="00952C52"/>
    <w:rsid w:val="0095344B"/>
    <w:rsid w:val="00953604"/>
    <w:rsid w:val="0095447D"/>
    <w:rsid w:val="00954E1C"/>
    <w:rsid w:val="00955D4A"/>
    <w:rsid w:val="00956C17"/>
    <w:rsid w:val="00956DDA"/>
    <w:rsid w:val="00957C83"/>
    <w:rsid w:val="00960B56"/>
    <w:rsid w:val="009610DC"/>
    <w:rsid w:val="00961490"/>
    <w:rsid w:val="00961BDF"/>
    <w:rsid w:val="00963219"/>
    <w:rsid w:val="009635DD"/>
    <w:rsid w:val="0096381A"/>
    <w:rsid w:val="009639C6"/>
    <w:rsid w:val="00964991"/>
    <w:rsid w:val="009659C3"/>
    <w:rsid w:val="00965E04"/>
    <w:rsid w:val="009666CC"/>
    <w:rsid w:val="0096687D"/>
    <w:rsid w:val="0096688F"/>
    <w:rsid w:val="009674AD"/>
    <w:rsid w:val="0096770F"/>
    <w:rsid w:val="0097094E"/>
    <w:rsid w:val="00970B04"/>
    <w:rsid w:val="00970CDC"/>
    <w:rsid w:val="00970D78"/>
    <w:rsid w:val="00971555"/>
    <w:rsid w:val="009715BB"/>
    <w:rsid w:val="00972FF8"/>
    <w:rsid w:val="00973D5A"/>
    <w:rsid w:val="0097452E"/>
    <w:rsid w:val="0097556F"/>
    <w:rsid w:val="00975C22"/>
    <w:rsid w:val="0097636E"/>
    <w:rsid w:val="00977010"/>
    <w:rsid w:val="00977024"/>
    <w:rsid w:val="00977D02"/>
    <w:rsid w:val="009809BB"/>
    <w:rsid w:val="00980B4B"/>
    <w:rsid w:val="009814A7"/>
    <w:rsid w:val="009816F6"/>
    <w:rsid w:val="00981CE6"/>
    <w:rsid w:val="00982980"/>
    <w:rsid w:val="00982D22"/>
    <w:rsid w:val="0098364B"/>
    <w:rsid w:val="00983BF9"/>
    <w:rsid w:val="00983CC0"/>
    <w:rsid w:val="00985F7D"/>
    <w:rsid w:val="00986B5C"/>
    <w:rsid w:val="00987624"/>
    <w:rsid w:val="0098778E"/>
    <w:rsid w:val="009908E4"/>
    <w:rsid w:val="009911AF"/>
    <w:rsid w:val="00991875"/>
    <w:rsid w:val="00991F92"/>
    <w:rsid w:val="00992721"/>
    <w:rsid w:val="00992985"/>
    <w:rsid w:val="00992DE5"/>
    <w:rsid w:val="00993889"/>
    <w:rsid w:val="00993E3B"/>
    <w:rsid w:val="0099435B"/>
    <w:rsid w:val="00994432"/>
    <w:rsid w:val="009944A9"/>
    <w:rsid w:val="00994E89"/>
    <w:rsid w:val="0099551B"/>
    <w:rsid w:val="00995AF3"/>
    <w:rsid w:val="00997126"/>
    <w:rsid w:val="00997BF1"/>
    <w:rsid w:val="009A0073"/>
    <w:rsid w:val="009A00E4"/>
    <w:rsid w:val="009A089C"/>
    <w:rsid w:val="009A0CFC"/>
    <w:rsid w:val="009A118E"/>
    <w:rsid w:val="009A11F0"/>
    <w:rsid w:val="009A21CD"/>
    <w:rsid w:val="009A278C"/>
    <w:rsid w:val="009A28CA"/>
    <w:rsid w:val="009A2BC2"/>
    <w:rsid w:val="009A3EEC"/>
    <w:rsid w:val="009A42C1"/>
    <w:rsid w:val="009A5429"/>
    <w:rsid w:val="009A65E7"/>
    <w:rsid w:val="009A6813"/>
    <w:rsid w:val="009A6E21"/>
    <w:rsid w:val="009A72AD"/>
    <w:rsid w:val="009B09E0"/>
    <w:rsid w:val="009B0BC5"/>
    <w:rsid w:val="009B11CC"/>
    <w:rsid w:val="009B1247"/>
    <w:rsid w:val="009B148C"/>
    <w:rsid w:val="009B14A1"/>
    <w:rsid w:val="009B4921"/>
    <w:rsid w:val="009B5A21"/>
    <w:rsid w:val="009B5D32"/>
    <w:rsid w:val="009B5E50"/>
    <w:rsid w:val="009B6029"/>
    <w:rsid w:val="009B6971"/>
    <w:rsid w:val="009C17C7"/>
    <w:rsid w:val="009C22E7"/>
    <w:rsid w:val="009C27F1"/>
    <w:rsid w:val="009C3152"/>
    <w:rsid w:val="009C3EA1"/>
    <w:rsid w:val="009C4CFA"/>
    <w:rsid w:val="009C5070"/>
    <w:rsid w:val="009C51C5"/>
    <w:rsid w:val="009C6B59"/>
    <w:rsid w:val="009D0BDE"/>
    <w:rsid w:val="009D112C"/>
    <w:rsid w:val="009D119E"/>
    <w:rsid w:val="009D190F"/>
    <w:rsid w:val="009D38C9"/>
    <w:rsid w:val="009D437A"/>
    <w:rsid w:val="009D47FA"/>
    <w:rsid w:val="009D50D2"/>
    <w:rsid w:val="009D6BCA"/>
    <w:rsid w:val="009D6DEE"/>
    <w:rsid w:val="009D7089"/>
    <w:rsid w:val="009D78C0"/>
    <w:rsid w:val="009E01DE"/>
    <w:rsid w:val="009E0DDD"/>
    <w:rsid w:val="009E0F62"/>
    <w:rsid w:val="009E1068"/>
    <w:rsid w:val="009E23D2"/>
    <w:rsid w:val="009E4A58"/>
    <w:rsid w:val="009E573E"/>
    <w:rsid w:val="009E5A2D"/>
    <w:rsid w:val="009E5AB2"/>
    <w:rsid w:val="009E5DBF"/>
    <w:rsid w:val="009E5EAF"/>
    <w:rsid w:val="009E6219"/>
    <w:rsid w:val="009E66D7"/>
    <w:rsid w:val="009E6BBA"/>
    <w:rsid w:val="009E79D5"/>
    <w:rsid w:val="009E7D36"/>
    <w:rsid w:val="009F03B3"/>
    <w:rsid w:val="009F09D3"/>
    <w:rsid w:val="009F0B08"/>
    <w:rsid w:val="009F0EB4"/>
    <w:rsid w:val="009F10F6"/>
    <w:rsid w:val="009F18F2"/>
    <w:rsid w:val="009F1A9B"/>
    <w:rsid w:val="009F1DD8"/>
    <w:rsid w:val="009F1F39"/>
    <w:rsid w:val="009F256C"/>
    <w:rsid w:val="009F2B1A"/>
    <w:rsid w:val="009F7478"/>
    <w:rsid w:val="00A00DF3"/>
    <w:rsid w:val="00A016F6"/>
    <w:rsid w:val="00A01757"/>
    <w:rsid w:val="00A01BE3"/>
    <w:rsid w:val="00A02231"/>
    <w:rsid w:val="00A027B2"/>
    <w:rsid w:val="00A028C0"/>
    <w:rsid w:val="00A02A7D"/>
    <w:rsid w:val="00A02BAE"/>
    <w:rsid w:val="00A03512"/>
    <w:rsid w:val="00A036D8"/>
    <w:rsid w:val="00A0430E"/>
    <w:rsid w:val="00A046BF"/>
    <w:rsid w:val="00A04DA6"/>
    <w:rsid w:val="00A05A23"/>
    <w:rsid w:val="00A0696D"/>
    <w:rsid w:val="00A069AA"/>
    <w:rsid w:val="00A06A6B"/>
    <w:rsid w:val="00A07E47"/>
    <w:rsid w:val="00A101EE"/>
    <w:rsid w:val="00A129D0"/>
    <w:rsid w:val="00A12C33"/>
    <w:rsid w:val="00A138BA"/>
    <w:rsid w:val="00A14657"/>
    <w:rsid w:val="00A14C8E"/>
    <w:rsid w:val="00A153D9"/>
    <w:rsid w:val="00A15F09"/>
    <w:rsid w:val="00A16513"/>
    <w:rsid w:val="00A169B6"/>
    <w:rsid w:val="00A2028B"/>
    <w:rsid w:val="00A21194"/>
    <w:rsid w:val="00A21375"/>
    <w:rsid w:val="00A2271D"/>
    <w:rsid w:val="00A236E5"/>
    <w:rsid w:val="00A237D5"/>
    <w:rsid w:val="00A24F7B"/>
    <w:rsid w:val="00A260F8"/>
    <w:rsid w:val="00A26BDC"/>
    <w:rsid w:val="00A30EFC"/>
    <w:rsid w:val="00A31984"/>
    <w:rsid w:val="00A320FC"/>
    <w:rsid w:val="00A32165"/>
    <w:rsid w:val="00A32D73"/>
    <w:rsid w:val="00A32ECE"/>
    <w:rsid w:val="00A3367B"/>
    <w:rsid w:val="00A3471C"/>
    <w:rsid w:val="00A34CA6"/>
    <w:rsid w:val="00A3531E"/>
    <w:rsid w:val="00A3597D"/>
    <w:rsid w:val="00A35E01"/>
    <w:rsid w:val="00A36B6B"/>
    <w:rsid w:val="00A40091"/>
    <w:rsid w:val="00A402DE"/>
    <w:rsid w:val="00A4030F"/>
    <w:rsid w:val="00A405A9"/>
    <w:rsid w:val="00A41268"/>
    <w:rsid w:val="00A41C79"/>
    <w:rsid w:val="00A41CB5"/>
    <w:rsid w:val="00A4221B"/>
    <w:rsid w:val="00A42CDF"/>
    <w:rsid w:val="00A43A0D"/>
    <w:rsid w:val="00A4452E"/>
    <w:rsid w:val="00A4472C"/>
    <w:rsid w:val="00A44E69"/>
    <w:rsid w:val="00A4661E"/>
    <w:rsid w:val="00A500D3"/>
    <w:rsid w:val="00A511CF"/>
    <w:rsid w:val="00A512C6"/>
    <w:rsid w:val="00A521D1"/>
    <w:rsid w:val="00A52BD5"/>
    <w:rsid w:val="00A53A72"/>
    <w:rsid w:val="00A547F9"/>
    <w:rsid w:val="00A54A2E"/>
    <w:rsid w:val="00A54DA0"/>
    <w:rsid w:val="00A55089"/>
    <w:rsid w:val="00A55635"/>
    <w:rsid w:val="00A55BD6"/>
    <w:rsid w:val="00A55D50"/>
    <w:rsid w:val="00A57142"/>
    <w:rsid w:val="00A57EFB"/>
    <w:rsid w:val="00A61D8C"/>
    <w:rsid w:val="00A6200D"/>
    <w:rsid w:val="00A625C4"/>
    <w:rsid w:val="00A63BF6"/>
    <w:rsid w:val="00A648CD"/>
    <w:rsid w:val="00A6537A"/>
    <w:rsid w:val="00A67866"/>
    <w:rsid w:val="00A70B07"/>
    <w:rsid w:val="00A70F4C"/>
    <w:rsid w:val="00A7124F"/>
    <w:rsid w:val="00A71904"/>
    <w:rsid w:val="00A723F8"/>
    <w:rsid w:val="00A756AE"/>
    <w:rsid w:val="00A76525"/>
    <w:rsid w:val="00A77AB6"/>
    <w:rsid w:val="00A77CCB"/>
    <w:rsid w:val="00A81012"/>
    <w:rsid w:val="00A81FE8"/>
    <w:rsid w:val="00A83D8D"/>
    <w:rsid w:val="00A8446B"/>
    <w:rsid w:val="00A8473F"/>
    <w:rsid w:val="00A85AB2"/>
    <w:rsid w:val="00A862D6"/>
    <w:rsid w:val="00A86AFA"/>
    <w:rsid w:val="00A86E40"/>
    <w:rsid w:val="00A8715E"/>
    <w:rsid w:val="00A87798"/>
    <w:rsid w:val="00A87E38"/>
    <w:rsid w:val="00A92217"/>
    <w:rsid w:val="00A9295B"/>
    <w:rsid w:val="00A933E6"/>
    <w:rsid w:val="00A93A26"/>
    <w:rsid w:val="00A93B09"/>
    <w:rsid w:val="00A947C8"/>
    <w:rsid w:val="00A94C4D"/>
    <w:rsid w:val="00A952D7"/>
    <w:rsid w:val="00A95489"/>
    <w:rsid w:val="00A95DC7"/>
    <w:rsid w:val="00A95E85"/>
    <w:rsid w:val="00A9621E"/>
    <w:rsid w:val="00A963F7"/>
    <w:rsid w:val="00A968EA"/>
    <w:rsid w:val="00A969E0"/>
    <w:rsid w:val="00A96AD8"/>
    <w:rsid w:val="00A96C78"/>
    <w:rsid w:val="00AA052C"/>
    <w:rsid w:val="00AA0637"/>
    <w:rsid w:val="00AA074A"/>
    <w:rsid w:val="00AA0A3D"/>
    <w:rsid w:val="00AA1934"/>
    <w:rsid w:val="00AA1CE2"/>
    <w:rsid w:val="00AA1E45"/>
    <w:rsid w:val="00AA2A24"/>
    <w:rsid w:val="00AA349F"/>
    <w:rsid w:val="00AA3932"/>
    <w:rsid w:val="00AA4038"/>
    <w:rsid w:val="00AA4286"/>
    <w:rsid w:val="00AA456B"/>
    <w:rsid w:val="00AA50CD"/>
    <w:rsid w:val="00AA543A"/>
    <w:rsid w:val="00AA57F5"/>
    <w:rsid w:val="00AA672E"/>
    <w:rsid w:val="00AA6EC9"/>
    <w:rsid w:val="00AA727D"/>
    <w:rsid w:val="00AB02C5"/>
    <w:rsid w:val="00AB0636"/>
    <w:rsid w:val="00AB0F08"/>
    <w:rsid w:val="00AB3A82"/>
    <w:rsid w:val="00AB4E42"/>
    <w:rsid w:val="00AB5139"/>
    <w:rsid w:val="00AB6309"/>
    <w:rsid w:val="00AB6C5F"/>
    <w:rsid w:val="00AB7129"/>
    <w:rsid w:val="00AC1836"/>
    <w:rsid w:val="00AC2456"/>
    <w:rsid w:val="00AC27A6"/>
    <w:rsid w:val="00AC30F7"/>
    <w:rsid w:val="00AC367E"/>
    <w:rsid w:val="00AC3A5A"/>
    <w:rsid w:val="00AC42D0"/>
    <w:rsid w:val="00AC450C"/>
    <w:rsid w:val="00AC4D95"/>
    <w:rsid w:val="00AC5DF4"/>
    <w:rsid w:val="00AC6397"/>
    <w:rsid w:val="00AC6D98"/>
    <w:rsid w:val="00AC7514"/>
    <w:rsid w:val="00AC7B2F"/>
    <w:rsid w:val="00AD0AEF"/>
    <w:rsid w:val="00AD11B7"/>
    <w:rsid w:val="00AD1A94"/>
    <w:rsid w:val="00AD1C05"/>
    <w:rsid w:val="00AD2278"/>
    <w:rsid w:val="00AD3367"/>
    <w:rsid w:val="00AD3691"/>
    <w:rsid w:val="00AD3878"/>
    <w:rsid w:val="00AD4126"/>
    <w:rsid w:val="00AD421C"/>
    <w:rsid w:val="00AD44FA"/>
    <w:rsid w:val="00AD4550"/>
    <w:rsid w:val="00AD50AB"/>
    <w:rsid w:val="00AD64B9"/>
    <w:rsid w:val="00AD6FCE"/>
    <w:rsid w:val="00AD7E69"/>
    <w:rsid w:val="00AE06B1"/>
    <w:rsid w:val="00AE070A"/>
    <w:rsid w:val="00AE101C"/>
    <w:rsid w:val="00AE24B8"/>
    <w:rsid w:val="00AE3F8D"/>
    <w:rsid w:val="00AE44A0"/>
    <w:rsid w:val="00AE58DC"/>
    <w:rsid w:val="00AE65F3"/>
    <w:rsid w:val="00AE747A"/>
    <w:rsid w:val="00AF0C18"/>
    <w:rsid w:val="00AF0D27"/>
    <w:rsid w:val="00AF26D7"/>
    <w:rsid w:val="00AF33E0"/>
    <w:rsid w:val="00AF367C"/>
    <w:rsid w:val="00AF3FF1"/>
    <w:rsid w:val="00AF47C5"/>
    <w:rsid w:val="00AF4AC7"/>
    <w:rsid w:val="00AF5398"/>
    <w:rsid w:val="00AF577F"/>
    <w:rsid w:val="00AF5825"/>
    <w:rsid w:val="00AF5EF1"/>
    <w:rsid w:val="00AF6FC3"/>
    <w:rsid w:val="00AF7DE8"/>
    <w:rsid w:val="00B00176"/>
    <w:rsid w:val="00B00BB7"/>
    <w:rsid w:val="00B0242D"/>
    <w:rsid w:val="00B02552"/>
    <w:rsid w:val="00B0396B"/>
    <w:rsid w:val="00B03B98"/>
    <w:rsid w:val="00B0423E"/>
    <w:rsid w:val="00B049AF"/>
    <w:rsid w:val="00B04D63"/>
    <w:rsid w:val="00B05147"/>
    <w:rsid w:val="00B052E9"/>
    <w:rsid w:val="00B06B05"/>
    <w:rsid w:val="00B07242"/>
    <w:rsid w:val="00B10534"/>
    <w:rsid w:val="00B10741"/>
    <w:rsid w:val="00B113DB"/>
    <w:rsid w:val="00B11D8A"/>
    <w:rsid w:val="00B1234D"/>
    <w:rsid w:val="00B12981"/>
    <w:rsid w:val="00B146C0"/>
    <w:rsid w:val="00B147DD"/>
    <w:rsid w:val="00B156FD"/>
    <w:rsid w:val="00B175E3"/>
    <w:rsid w:val="00B17942"/>
    <w:rsid w:val="00B21F61"/>
    <w:rsid w:val="00B223FC"/>
    <w:rsid w:val="00B2296C"/>
    <w:rsid w:val="00B23045"/>
    <w:rsid w:val="00B23536"/>
    <w:rsid w:val="00B238F5"/>
    <w:rsid w:val="00B242AF"/>
    <w:rsid w:val="00B251AA"/>
    <w:rsid w:val="00B261F1"/>
    <w:rsid w:val="00B265BC"/>
    <w:rsid w:val="00B31EFF"/>
    <w:rsid w:val="00B31FB1"/>
    <w:rsid w:val="00B327E7"/>
    <w:rsid w:val="00B33952"/>
    <w:rsid w:val="00B33C5E"/>
    <w:rsid w:val="00B342F4"/>
    <w:rsid w:val="00B34369"/>
    <w:rsid w:val="00B34692"/>
    <w:rsid w:val="00B34CD8"/>
    <w:rsid w:val="00B34DC2"/>
    <w:rsid w:val="00B363D8"/>
    <w:rsid w:val="00B37707"/>
    <w:rsid w:val="00B378E5"/>
    <w:rsid w:val="00B40C2D"/>
    <w:rsid w:val="00B40FFB"/>
    <w:rsid w:val="00B41563"/>
    <w:rsid w:val="00B4346D"/>
    <w:rsid w:val="00B43D9F"/>
    <w:rsid w:val="00B440F4"/>
    <w:rsid w:val="00B447A5"/>
    <w:rsid w:val="00B44838"/>
    <w:rsid w:val="00B44D7F"/>
    <w:rsid w:val="00B462E0"/>
    <w:rsid w:val="00B4654C"/>
    <w:rsid w:val="00B471A4"/>
    <w:rsid w:val="00B47293"/>
    <w:rsid w:val="00B47396"/>
    <w:rsid w:val="00B47876"/>
    <w:rsid w:val="00B47E4C"/>
    <w:rsid w:val="00B51072"/>
    <w:rsid w:val="00B52120"/>
    <w:rsid w:val="00B52A62"/>
    <w:rsid w:val="00B54ABC"/>
    <w:rsid w:val="00B56FBE"/>
    <w:rsid w:val="00B57BB6"/>
    <w:rsid w:val="00B57D59"/>
    <w:rsid w:val="00B60597"/>
    <w:rsid w:val="00B60E4C"/>
    <w:rsid w:val="00B62B58"/>
    <w:rsid w:val="00B62ECD"/>
    <w:rsid w:val="00B63282"/>
    <w:rsid w:val="00B6343F"/>
    <w:rsid w:val="00B64131"/>
    <w:rsid w:val="00B647E9"/>
    <w:rsid w:val="00B65149"/>
    <w:rsid w:val="00B65222"/>
    <w:rsid w:val="00B66322"/>
    <w:rsid w:val="00B66567"/>
    <w:rsid w:val="00B66F52"/>
    <w:rsid w:val="00B66FE5"/>
    <w:rsid w:val="00B675B7"/>
    <w:rsid w:val="00B70BC8"/>
    <w:rsid w:val="00B72180"/>
    <w:rsid w:val="00B72590"/>
    <w:rsid w:val="00B72880"/>
    <w:rsid w:val="00B735A8"/>
    <w:rsid w:val="00B738D2"/>
    <w:rsid w:val="00B738DF"/>
    <w:rsid w:val="00B749B5"/>
    <w:rsid w:val="00B758BF"/>
    <w:rsid w:val="00B75A03"/>
    <w:rsid w:val="00B767F6"/>
    <w:rsid w:val="00B7761D"/>
    <w:rsid w:val="00B77EC8"/>
    <w:rsid w:val="00B80CC0"/>
    <w:rsid w:val="00B814FB"/>
    <w:rsid w:val="00B827A6"/>
    <w:rsid w:val="00B831CE"/>
    <w:rsid w:val="00B857BC"/>
    <w:rsid w:val="00B86076"/>
    <w:rsid w:val="00B86203"/>
    <w:rsid w:val="00B86677"/>
    <w:rsid w:val="00B87131"/>
    <w:rsid w:val="00B87ACF"/>
    <w:rsid w:val="00B90460"/>
    <w:rsid w:val="00B9127B"/>
    <w:rsid w:val="00B91566"/>
    <w:rsid w:val="00B91DB7"/>
    <w:rsid w:val="00B9320C"/>
    <w:rsid w:val="00B93521"/>
    <w:rsid w:val="00B939B1"/>
    <w:rsid w:val="00B939C9"/>
    <w:rsid w:val="00B96D40"/>
    <w:rsid w:val="00B97386"/>
    <w:rsid w:val="00B979B5"/>
    <w:rsid w:val="00BA014B"/>
    <w:rsid w:val="00BA0697"/>
    <w:rsid w:val="00BA0E6C"/>
    <w:rsid w:val="00BA23DD"/>
    <w:rsid w:val="00BA25E5"/>
    <w:rsid w:val="00BA263B"/>
    <w:rsid w:val="00BA42B2"/>
    <w:rsid w:val="00BA4F18"/>
    <w:rsid w:val="00BA57E8"/>
    <w:rsid w:val="00BA57FD"/>
    <w:rsid w:val="00BA58D4"/>
    <w:rsid w:val="00BA5B9E"/>
    <w:rsid w:val="00BA7C9A"/>
    <w:rsid w:val="00BB132A"/>
    <w:rsid w:val="00BB1F45"/>
    <w:rsid w:val="00BB2748"/>
    <w:rsid w:val="00BB2F69"/>
    <w:rsid w:val="00BB30E4"/>
    <w:rsid w:val="00BB347A"/>
    <w:rsid w:val="00BB42B2"/>
    <w:rsid w:val="00BB499F"/>
    <w:rsid w:val="00BB5041"/>
    <w:rsid w:val="00BB526D"/>
    <w:rsid w:val="00BB5F8F"/>
    <w:rsid w:val="00BB6546"/>
    <w:rsid w:val="00BB657A"/>
    <w:rsid w:val="00BB6845"/>
    <w:rsid w:val="00BB6944"/>
    <w:rsid w:val="00BC0637"/>
    <w:rsid w:val="00BC1A4E"/>
    <w:rsid w:val="00BC2FAF"/>
    <w:rsid w:val="00BC2FCB"/>
    <w:rsid w:val="00BC4762"/>
    <w:rsid w:val="00BC4C15"/>
    <w:rsid w:val="00BC5DC7"/>
    <w:rsid w:val="00BC67A1"/>
    <w:rsid w:val="00BC6B4E"/>
    <w:rsid w:val="00BC6B8B"/>
    <w:rsid w:val="00BC73D8"/>
    <w:rsid w:val="00BD1F82"/>
    <w:rsid w:val="00BD23E2"/>
    <w:rsid w:val="00BD270E"/>
    <w:rsid w:val="00BD2DBC"/>
    <w:rsid w:val="00BD2EDF"/>
    <w:rsid w:val="00BD3133"/>
    <w:rsid w:val="00BD31B9"/>
    <w:rsid w:val="00BD3561"/>
    <w:rsid w:val="00BD4F1D"/>
    <w:rsid w:val="00BD52D7"/>
    <w:rsid w:val="00BD5AD2"/>
    <w:rsid w:val="00BD6082"/>
    <w:rsid w:val="00BD6BFD"/>
    <w:rsid w:val="00BD7280"/>
    <w:rsid w:val="00BD72B2"/>
    <w:rsid w:val="00BD76C6"/>
    <w:rsid w:val="00BD7CE6"/>
    <w:rsid w:val="00BE018F"/>
    <w:rsid w:val="00BE106B"/>
    <w:rsid w:val="00BE1805"/>
    <w:rsid w:val="00BE2272"/>
    <w:rsid w:val="00BE22F3"/>
    <w:rsid w:val="00BE2CFF"/>
    <w:rsid w:val="00BE30EA"/>
    <w:rsid w:val="00BE332E"/>
    <w:rsid w:val="00BE3889"/>
    <w:rsid w:val="00BE3F42"/>
    <w:rsid w:val="00BE40DB"/>
    <w:rsid w:val="00BE4982"/>
    <w:rsid w:val="00BE49EE"/>
    <w:rsid w:val="00BE4CC1"/>
    <w:rsid w:val="00BE5B52"/>
    <w:rsid w:val="00BE5CC8"/>
    <w:rsid w:val="00BE624B"/>
    <w:rsid w:val="00BE67A1"/>
    <w:rsid w:val="00BE6B0C"/>
    <w:rsid w:val="00BE71BC"/>
    <w:rsid w:val="00BE758E"/>
    <w:rsid w:val="00BE7717"/>
    <w:rsid w:val="00BE7B8D"/>
    <w:rsid w:val="00BE7D27"/>
    <w:rsid w:val="00BF0993"/>
    <w:rsid w:val="00BF10A9"/>
    <w:rsid w:val="00BF1703"/>
    <w:rsid w:val="00BF1C3F"/>
    <w:rsid w:val="00BF231C"/>
    <w:rsid w:val="00BF2944"/>
    <w:rsid w:val="00BF3543"/>
    <w:rsid w:val="00BF3A77"/>
    <w:rsid w:val="00BF4851"/>
    <w:rsid w:val="00BF51E5"/>
    <w:rsid w:val="00BF5F04"/>
    <w:rsid w:val="00BF6CE3"/>
    <w:rsid w:val="00BF74A6"/>
    <w:rsid w:val="00BF7B37"/>
    <w:rsid w:val="00C00157"/>
    <w:rsid w:val="00C013AD"/>
    <w:rsid w:val="00C01CA5"/>
    <w:rsid w:val="00C02727"/>
    <w:rsid w:val="00C02749"/>
    <w:rsid w:val="00C0322C"/>
    <w:rsid w:val="00C034B3"/>
    <w:rsid w:val="00C04250"/>
    <w:rsid w:val="00C0433A"/>
    <w:rsid w:val="00C04904"/>
    <w:rsid w:val="00C0533D"/>
    <w:rsid w:val="00C056B3"/>
    <w:rsid w:val="00C05ACE"/>
    <w:rsid w:val="00C05F42"/>
    <w:rsid w:val="00C05FAF"/>
    <w:rsid w:val="00C07005"/>
    <w:rsid w:val="00C103E5"/>
    <w:rsid w:val="00C1198F"/>
    <w:rsid w:val="00C11E20"/>
    <w:rsid w:val="00C1294C"/>
    <w:rsid w:val="00C12C3C"/>
    <w:rsid w:val="00C13319"/>
    <w:rsid w:val="00C13EE9"/>
    <w:rsid w:val="00C14329"/>
    <w:rsid w:val="00C145B2"/>
    <w:rsid w:val="00C14C86"/>
    <w:rsid w:val="00C14D87"/>
    <w:rsid w:val="00C1514D"/>
    <w:rsid w:val="00C151D3"/>
    <w:rsid w:val="00C17306"/>
    <w:rsid w:val="00C178B8"/>
    <w:rsid w:val="00C20873"/>
    <w:rsid w:val="00C21540"/>
    <w:rsid w:val="00C21906"/>
    <w:rsid w:val="00C21BFA"/>
    <w:rsid w:val="00C22147"/>
    <w:rsid w:val="00C2457C"/>
    <w:rsid w:val="00C24C8D"/>
    <w:rsid w:val="00C25615"/>
    <w:rsid w:val="00C25FE2"/>
    <w:rsid w:val="00C26B53"/>
    <w:rsid w:val="00C279B2"/>
    <w:rsid w:val="00C30A8F"/>
    <w:rsid w:val="00C31CAE"/>
    <w:rsid w:val="00C33180"/>
    <w:rsid w:val="00C3348F"/>
    <w:rsid w:val="00C33E50"/>
    <w:rsid w:val="00C34C20"/>
    <w:rsid w:val="00C3532D"/>
    <w:rsid w:val="00C35A3E"/>
    <w:rsid w:val="00C36F8F"/>
    <w:rsid w:val="00C377A7"/>
    <w:rsid w:val="00C4138C"/>
    <w:rsid w:val="00C42130"/>
    <w:rsid w:val="00C423A4"/>
    <w:rsid w:val="00C43E10"/>
    <w:rsid w:val="00C44BF5"/>
    <w:rsid w:val="00C45134"/>
    <w:rsid w:val="00C45F1D"/>
    <w:rsid w:val="00C46122"/>
    <w:rsid w:val="00C47558"/>
    <w:rsid w:val="00C4761F"/>
    <w:rsid w:val="00C47A97"/>
    <w:rsid w:val="00C50A1C"/>
    <w:rsid w:val="00C50CD6"/>
    <w:rsid w:val="00C53C98"/>
    <w:rsid w:val="00C54B78"/>
    <w:rsid w:val="00C55232"/>
    <w:rsid w:val="00C553A4"/>
    <w:rsid w:val="00C5541D"/>
    <w:rsid w:val="00C55A06"/>
    <w:rsid w:val="00C55D03"/>
    <w:rsid w:val="00C56499"/>
    <w:rsid w:val="00C56F53"/>
    <w:rsid w:val="00C601BC"/>
    <w:rsid w:val="00C6062A"/>
    <w:rsid w:val="00C61245"/>
    <w:rsid w:val="00C615EB"/>
    <w:rsid w:val="00C618F6"/>
    <w:rsid w:val="00C6299F"/>
    <w:rsid w:val="00C6329F"/>
    <w:rsid w:val="00C63340"/>
    <w:rsid w:val="00C63F5F"/>
    <w:rsid w:val="00C63FC1"/>
    <w:rsid w:val="00C642EC"/>
    <w:rsid w:val="00C643F9"/>
    <w:rsid w:val="00C64E95"/>
    <w:rsid w:val="00C655FD"/>
    <w:rsid w:val="00C666DB"/>
    <w:rsid w:val="00C66BA5"/>
    <w:rsid w:val="00C66C83"/>
    <w:rsid w:val="00C67681"/>
    <w:rsid w:val="00C71372"/>
    <w:rsid w:val="00C72410"/>
    <w:rsid w:val="00C7287F"/>
    <w:rsid w:val="00C72F0E"/>
    <w:rsid w:val="00C7301D"/>
    <w:rsid w:val="00C732DA"/>
    <w:rsid w:val="00C73448"/>
    <w:rsid w:val="00C73AA0"/>
    <w:rsid w:val="00C764F7"/>
    <w:rsid w:val="00C7657F"/>
    <w:rsid w:val="00C80B93"/>
    <w:rsid w:val="00C80CB8"/>
    <w:rsid w:val="00C81674"/>
    <w:rsid w:val="00C81922"/>
    <w:rsid w:val="00C819F8"/>
    <w:rsid w:val="00C8248C"/>
    <w:rsid w:val="00C828A1"/>
    <w:rsid w:val="00C829A0"/>
    <w:rsid w:val="00C83DAC"/>
    <w:rsid w:val="00C83E37"/>
    <w:rsid w:val="00C84D6A"/>
    <w:rsid w:val="00C84E33"/>
    <w:rsid w:val="00C8529C"/>
    <w:rsid w:val="00C85A8F"/>
    <w:rsid w:val="00C85EA3"/>
    <w:rsid w:val="00C85F7E"/>
    <w:rsid w:val="00C86D6F"/>
    <w:rsid w:val="00C870E6"/>
    <w:rsid w:val="00C879C8"/>
    <w:rsid w:val="00C9008D"/>
    <w:rsid w:val="00C905FC"/>
    <w:rsid w:val="00C91CAA"/>
    <w:rsid w:val="00C91FDD"/>
    <w:rsid w:val="00C92D03"/>
    <w:rsid w:val="00C9319C"/>
    <w:rsid w:val="00C9435D"/>
    <w:rsid w:val="00C9517F"/>
    <w:rsid w:val="00C951E6"/>
    <w:rsid w:val="00C9621F"/>
    <w:rsid w:val="00C96741"/>
    <w:rsid w:val="00C96AE6"/>
    <w:rsid w:val="00CA0636"/>
    <w:rsid w:val="00CA161B"/>
    <w:rsid w:val="00CA173F"/>
    <w:rsid w:val="00CA214C"/>
    <w:rsid w:val="00CA2D1B"/>
    <w:rsid w:val="00CA31C9"/>
    <w:rsid w:val="00CA37CC"/>
    <w:rsid w:val="00CA4D3F"/>
    <w:rsid w:val="00CA4E13"/>
    <w:rsid w:val="00CA5BCC"/>
    <w:rsid w:val="00CA5F69"/>
    <w:rsid w:val="00CA662A"/>
    <w:rsid w:val="00CA6AFE"/>
    <w:rsid w:val="00CA6D88"/>
    <w:rsid w:val="00CA75C0"/>
    <w:rsid w:val="00CA76C3"/>
    <w:rsid w:val="00CA7A75"/>
    <w:rsid w:val="00CA7AFD"/>
    <w:rsid w:val="00CA7C3C"/>
    <w:rsid w:val="00CB0189"/>
    <w:rsid w:val="00CB0BA2"/>
    <w:rsid w:val="00CB1A42"/>
    <w:rsid w:val="00CB1B0C"/>
    <w:rsid w:val="00CB2C0B"/>
    <w:rsid w:val="00CB4010"/>
    <w:rsid w:val="00CB4923"/>
    <w:rsid w:val="00CB517D"/>
    <w:rsid w:val="00CB5695"/>
    <w:rsid w:val="00CB7DE1"/>
    <w:rsid w:val="00CC038D"/>
    <w:rsid w:val="00CC2358"/>
    <w:rsid w:val="00CC39FF"/>
    <w:rsid w:val="00CC3C2F"/>
    <w:rsid w:val="00CC3E6A"/>
    <w:rsid w:val="00CC3FBE"/>
    <w:rsid w:val="00CC4AC8"/>
    <w:rsid w:val="00CC5174"/>
    <w:rsid w:val="00CC5233"/>
    <w:rsid w:val="00CC5DE6"/>
    <w:rsid w:val="00CC6E4E"/>
    <w:rsid w:val="00CC6FE8"/>
    <w:rsid w:val="00CC7202"/>
    <w:rsid w:val="00CD0A13"/>
    <w:rsid w:val="00CD2808"/>
    <w:rsid w:val="00CD28BF"/>
    <w:rsid w:val="00CD3E02"/>
    <w:rsid w:val="00CD4092"/>
    <w:rsid w:val="00CD43EE"/>
    <w:rsid w:val="00CD4A20"/>
    <w:rsid w:val="00CD50A1"/>
    <w:rsid w:val="00CD519E"/>
    <w:rsid w:val="00CD5A62"/>
    <w:rsid w:val="00CD6F99"/>
    <w:rsid w:val="00CD7217"/>
    <w:rsid w:val="00CE0584"/>
    <w:rsid w:val="00CE0C4F"/>
    <w:rsid w:val="00CE0DBF"/>
    <w:rsid w:val="00CE0F12"/>
    <w:rsid w:val="00CE2280"/>
    <w:rsid w:val="00CE2E5E"/>
    <w:rsid w:val="00CE30EA"/>
    <w:rsid w:val="00CE34D6"/>
    <w:rsid w:val="00CE7B04"/>
    <w:rsid w:val="00CF048A"/>
    <w:rsid w:val="00CF102A"/>
    <w:rsid w:val="00CF1381"/>
    <w:rsid w:val="00CF155A"/>
    <w:rsid w:val="00CF2947"/>
    <w:rsid w:val="00CF3426"/>
    <w:rsid w:val="00CF44B1"/>
    <w:rsid w:val="00CF48A4"/>
    <w:rsid w:val="00CF6263"/>
    <w:rsid w:val="00CF6827"/>
    <w:rsid w:val="00CF686F"/>
    <w:rsid w:val="00CF6E60"/>
    <w:rsid w:val="00CF7BCA"/>
    <w:rsid w:val="00D008FD"/>
    <w:rsid w:val="00D01D6D"/>
    <w:rsid w:val="00D0321C"/>
    <w:rsid w:val="00D035EC"/>
    <w:rsid w:val="00D04810"/>
    <w:rsid w:val="00D050CD"/>
    <w:rsid w:val="00D06AB1"/>
    <w:rsid w:val="00D072ED"/>
    <w:rsid w:val="00D0786D"/>
    <w:rsid w:val="00D07A16"/>
    <w:rsid w:val="00D10251"/>
    <w:rsid w:val="00D1067E"/>
    <w:rsid w:val="00D10F50"/>
    <w:rsid w:val="00D11272"/>
    <w:rsid w:val="00D126F5"/>
    <w:rsid w:val="00D1489E"/>
    <w:rsid w:val="00D1497D"/>
    <w:rsid w:val="00D14EE2"/>
    <w:rsid w:val="00D14EF2"/>
    <w:rsid w:val="00D158B8"/>
    <w:rsid w:val="00D20737"/>
    <w:rsid w:val="00D21E81"/>
    <w:rsid w:val="00D223DE"/>
    <w:rsid w:val="00D23C34"/>
    <w:rsid w:val="00D24023"/>
    <w:rsid w:val="00D2426C"/>
    <w:rsid w:val="00D2447F"/>
    <w:rsid w:val="00D24A9C"/>
    <w:rsid w:val="00D25E37"/>
    <w:rsid w:val="00D2661A"/>
    <w:rsid w:val="00D27582"/>
    <w:rsid w:val="00D27919"/>
    <w:rsid w:val="00D27E29"/>
    <w:rsid w:val="00D301CE"/>
    <w:rsid w:val="00D32042"/>
    <w:rsid w:val="00D326DB"/>
    <w:rsid w:val="00D32719"/>
    <w:rsid w:val="00D330D2"/>
    <w:rsid w:val="00D33333"/>
    <w:rsid w:val="00D33C1B"/>
    <w:rsid w:val="00D352A2"/>
    <w:rsid w:val="00D35738"/>
    <w:rsid w:val="00D36291"/>
    <w:rsid w:val="00D37483"/>
    <w:rsid w:val="00D37535"/>
    <w:rsid w:val="00D40A83"/>
    <w:rsid w:val="00D415EB"/>
    <w:rsid w:val="00D4162B"/>
    <w:rsid w:val="00D418B5"/>
    <w:rsid w:val="00D42805"/>
    <w:rsid w:val="00D432A9"/>
    <w:rsid w:val="00D43735"/>
    <w:rsid w:val="00D44896"/>
    <w:rsid w:val="00D44F86"/>
    <w:rsid w:val="00D4514F"/>
    <w:rsid w:val="00D451E2"/>
    <w:rsid w:val="00D4545E"/>
    <w:rsid w:val="00D45E84"/>
    <w:rsid w:val="00D45E89"/>
    <w:rsid w:val="00D45E8D"/>
    <w:rsid w:val="00D466AE"/>
    <w:rsid w:val="00D4734F"/>
    <w:rsid w:val="00D47CC4"/>
    <w:rsid w:val="00D506B7"/>
    <w:rsid w:val="00D50B23"/>
    <w:rsid w:val="00D51BF3"/>
    <w:rsid w:val="00D525ED"/>
    <w:rsid w:val="00D547E4"/>
    <w:rsid w:val="00D54804"/>
    <w:rsid w:val="00D55A6E"/>
    <w:rsid w:val="00D5666B"/>
    <w:rsid w:val="00D6193E"/>
    <w:rsid w:val="00D619D7"/>
    <w:rsid w:val="00D623A6"/>
    <w:rsid w:val="00D62489"/>
    <w:rsid w:val="00D63276"/>
    <w:rsid w:val="00D64156"/>
    <w:rsid w:val="00D64C8D"/>
    <w:rsid w:val="00D65997"/>
    <w:rsid w:val="00D65BDE"/>
    <w:rsid w:val="00D66846"/>
    <w:rsid w:val="00D66BF4"/>
    <w:rsid w:val="00D675FB"/>
    <w:rsid w:val="00D701A5"/>
    <w:rsid w:val="00D71F25"/>
    <w:rsid w:val="00D727B9"/>
    <w:rsid w:val="00D72FB6"/>
    <w:rsid w:val="00D735FE"/>
    <w:rsid w:val="00D74D9F"/>
    <w:rsid w:val="00D7505A"/>
    <w:rsid w:val="00D76A1E"/>
    <w:rsid w:val="00D77031"/>
    <w:rsid w:val="00D8092B"/>
    <w:rsid w:val="00D82DA1"/>
    <w:rsid w:val="00D8428E"/>
    <w:rsid w:val="00D845BA"/>
    <w:rsid w:val="00D84941"/>
    <w:rsid w:val="00D84FA1"/>
    <w:rsid w:val="00D851B6"/>
    <w:rsid w:val="00D851F0"/>
    <w:rsid w:val="00D86206"/>
    <w:rsid w:val="00D868E0"/>
    <w:rsid w:val="00D86AA2"/>
    <w:rsid w:val="00D86DB7"/>
    <w:rsid w:val="00D90AED"/>
    <w:rsid w:val="00D918F3"/>
    <w:rsid w:val="00D926D0"/>
    <w:rsid w:val="00D92A66"/>
    <w:rsid w:val="00D93030"/>
    <w:rsid w:val="00D943E5"/>
    <w:rsid w:val="00D950E1"/>
    <w:rsid w:val="00D952A6"/>
    <w:rsid w:val="00D958C8"/>
    <w:rsid w:val="00D97968"/>
    <w:rsid w:val="00D97F99"/>
    <w:rsid w:val="00DA1509"/>
    <w:rsid w:val="00DA1882"/>
    <w:rsid w:val="00DA19E7"/>
    <w:rsid w:val="00DA1A20"/>
    <w:rsid w:val="00DA1E08"/>
    <w:rsid w:val="00DA24F8"/>
    <w:rsid w:val="00DA28E8"/>
    <w:rsid w:val="00DA37B6"/>
    <w:rsid w:val="00DA38D3"/>
    <w:rsid w:val="00DA3932"/>
    <w:rsid w:val="00DA64F8"/>
    <w:rsid w:val="00DA6C15"/>
    <w:rsid w:val="00DA7370"/>
    <w:rsid w:val="00DB1028"/>
    <w:rsid w:val="00DB1CF3"/>
    <w:rsid w:val="00DB1F79"/>
    <w:rsid w:val="00DB212F"/>
    <w:rsid w:val="00DB38EE"/>
    <w:rsid w:val="00DB471A"/>
    <w:rsid w:val="00DB498B"/>
    <w:rsid w:val="00DB4DBC"/>
    <w:rsid w:val="00DB5685"/>
    <w:rsid w:val="00DB66CA"/>
    <w:rsid w:val="00DB67B5"/>
    <w:rsid w:val="00DB6BCA"/>
    <w:rsid w:val="00DC0321"/>
    <w:rsid w:val="00DC17F9"/>
    <w:rsid w:val="00DC1D39"/>
    <w:rsid w:val="00DC1EF5"/>
    <w:rsid w:val="00DC3067"/>
    <w:rsid w:val="00DC3072"/>
    <w:rsid w:val="00DC370B"/>
    <w:rsid w:val="00DC3800"/>
    <w:rsid w:val="00DC448A"/>
    <w:rsid w:val="00DC4C2F"/>
    <w:rsid w:val="00DC5B90"/>
    <w:rsid w:val="00DC767D"/>
    <w:rsid w:val="00DC7DBC"/>
    <w:rsid w:val="00DD00F2"/>
    <w:rsid w:val="00DD00FF"/>
    <w:rsid w:val="00DD028D"/>
    <w:rsid w:val="00DD0389"/>
    <w:rsid w:val="00DD0619"/>
    <w:rsid w:val="00DD07FB"/>
    <w:rsid w:val="00DD1E09"/>
    <w:rsid w:val="00DD2563"/>
    <w:rsid w:val="00DD25C6"/>
    <w:rsid w:val="00DD3A42"/>
    <w:rsid w:val="00DD481B"/>
    <w:rsid w:val="00DD54B0"/>
    <w:rsid w:val="00DD57EE"/>
    <w:rsid w:val="00DD5E5D"/>
    <w:rsid w:val="00DD61AD"/>
    <w:rsid w:val="00DD6BCC"/>
    <w:rsid w:val="00DD74D6"/>
    <w:rsid w:val="00DE037D"/>
    <w:rsid w:val="00DE0A4B"/>
    <w:rsid w:val="00DE2410"/>
    <w:rsid w:val="00DE28E0"/>
    <w:rsid w:val="00DE2939"/>
    <w:rsid w:val="00DE2F23"/>
    <w:rsid w:val="00DE336A"/>
    <w:rsid w:val="00DE436E"/>
    <w:rsid w:val="00DE4F1C"/>
    <w:rsid w:val="00DE51F0"/>
    <w:rsid w:val="00DE586C"/>
    <w:rsid w:val="00DE6E81"/>
    <w:rsid w:val="00DE703F"/>
    <w:rsid w:val="00DE705E"/>
    <w:rsid w:val="00DE7595"/>
    <w:rsid w:val="00DF15BE"/>
    <w:rsid w:val="00DF1961"/>
    <w:rsid w:val="00DF3816"/>
    <w:rsid w:val="00DF44DE"/>
    <w:rsid w:val="00DF5C7F"/>
    <w:rsid w:val="00DF5F04"/>
    <w:rsid w:val="00DF62F5"/>
    <w:rsid w:val="00DF74B0"/>
    <w:rsid w:val="00E00024"/>
    <w:rsid w:val="00E00A67"/>
    <w:rsid w:val="00E01138"/>
    <w:rsid w:val="00E01781"/>
    <w:rsid w:val="00E02DFB"/>
    <w:rsid w:val="00E030F9"/>
    <w:rsid w:val="00E0311A"/>
    <w:rsid w:val="00E03138"/>
    <w:rsid w:val="00E034CC"/>
    <w:rsid w:val="00E03724"/>
    <w:rsid w:val="00E0387A"/>
    <w:rsid w:val="00E03988"/>
    <w:rsid w:val="00E05A25"/>
    <w:rsid w:val="00E05BBE"/>
    <w:rsid w:val="00E06093"/>
    <w:rsid w:val="00E06404"/>
    <w:rsid w:val="00E0705E"/>
    <w:rsid w:val="00E07CF2"/>
    <w:rsid w:val="00E11A85"/>
    <w:rsid w:val="00E11F76"/>
    <w:rsid w:val="00E12495"/>
    <w:rsid w:val="00E134A9"/>
    <w:rsid w:val="00E14209"/>
    <w:rsid w:val="00E14744"/>
    <w:rsid w:val="00E149D9"/>
    <w:rsid w:val="00E14F56"/>
    <w:rsid w:val="00E15CCD"/>
    <w:rsid w:val="00E179FC"/>
    <w:rsid w:val="00E17A43"/>
    <w:rsid w:val="00E202EF"/>
    <w:rsid w:val="00E20CBC"/>
    <w:rsid w:val="00E210B5"/>
    <w:rsid w:val="00E21357"/>
    <w:rsid w:val="00E222A6"/>
    <w:rsid w:val="00E234B2"/>
    <w:rsid w:val="00E23BE6"/>
    <w:rsid w:val="00E2468B"/>
    <w:rsid w:val="00E24D86"/>
    <w:rsid w:val="00E2552F"/>
    <w:rsid w:val="00E25D00"/>
    <w:rsid w:val="00E26B7B"/>
    <w:rsid w:val="00E2751B"/>
    <w:rsid w:val="00E3137A"/>
    <w:rsid w:val="00E31D2C"/>
    <w:rsid w:val="00E31F47"/>
    <w:rsid w:val="00E32CCF"/>
    <w:rsid w:val="00E32D7E"/>
    <w:rsid w:val="00E34A98"/>
    <w:rsid w:val="00E34B30"/>
    <w:rsid w:val="00E35126"/>
    <w:rsid w:val="00E351E5"/>
    <w:rsid w:val="00E35953"/>
    <w:rsid w:val="00E35D1E"/>
    <w:rsid w:val="00E363DB"/>
    <w:rsid w:val="00E364A5"/>
    <w:rsid w:val="00E364F9"/>
    <w:rsid w:val="00E365FA"/>
    <w:rsid w:val="00E37737"/>
    <w:rsid w:val="00E37D3E"/>
    <w:rsid w:val="00E40C94"/>
    <w:rsid w:val="00E41A1A"/>
    <w:rsid w:val="00E421C6"/>
    <w:rsid w:val="00E42421"/>
    <w:rsid w:val="00E4247B"/>
    <w:rsid w:val="00E42AB6"/>
    <w:rsid w:val="00E43790"/>
    <w:rsid w:val="00E4481E"/>
    <w:rsid w:val="00E448BE"/>
    <w:rsid w:val="00E44A83"/>
    <w:rsid w:val="00E45F52"/>
    <w:rsid w:val="00E502C1"/>
    <w:rsid w:val="00E502DD"/>
    <w:rsid w:val="00E50D3A"/>
    <w:rsid w:val="00E51100"/>
    <w:rsid w:val="00E51387"/>
    <w:rsid w:val="00E51897"/>
    <w:rsid w:val="00E51E68"/>
    <w:rsid w:val="00E5257E"/>
    <w:rsid w:val="00E52739"/>
    <w:rsid w:val="00E529DC"/>
    <w:rsid w:val="00E52EFD"/>
    <w:rsid w:val="00E52F6E"/>
    <w:rsid w:val="00E530B9"/>
    <w:rsid w:val="00E5408A"/>
    <w:rsid w:val="00E56800"/>
    <w:rsid w:val="00E5759C"/>
    <w:rsid w:val="00E6060F"/>
    <w:rsid w:val="00E60CD7"/>
    <w:rsid w:val="00E625A8"/>
    <w:rsid w:val="00E62FF9"/>
    <w:rsid w:val="00E635D6"/>
    <w:rsid w:val="00E639BC"/>
    <w:rsid w:val="00E64D23"/>
    <w:rsid w:val="00E664CC"/>
    <w:rsid w:val="00E6693C"/>
    <w:rsid w:val="00E70388"/>
    <w:rsid w:val="00E703AC"/>
    <w:rsid w:val="00E70A64"/>
    <w:rsid w:val="00E70F92"/>
    <w:rsid w:val="00E7293F"/>
    <w:rsid w:val="00E73998"/>
    <w:rsid w:val="00E73E75"/>
    <w:rsid w:val="00E74C54"/>
    <w:rsid w:val="00E76220"/>
    <w:rsid w:val="00E76405"/>
    <w:rsid w:val="00E77A03"/>
    <w:rsid w:val="00E818CE"/>
    <w:rsid w:val="00E819D2"/>
    <w:rsid w:val="00E81C27"/>
    <w:rsid w:val="00E822E8"/>
    <w:rsid w:val="00E82554"/>
    <w:rsid w:val="00E82606"/>
    <w:rsid w:val="00E827ED"/>
    <w:rsid w:val="00E82960"/>
    <w:rsid w:val="00E82DDA"/>
    <w:rsid w:val="00E82EC5"/>
    <w:rsid w:val="00E83A03"/>
    <w:rsid w:val="00E841FB"/>
    <w:rsid w:val="00E846C8"/>
    <w:rsid w:val="00E84957"/>
    <w:rsid w:val="00E84A55"/>
    <w:rsid w:val="00E84F87"/>
    <w:rsid w:val="00E85BFF"/>
    <w:rsid w:val="00E85D37"/>
    <w:rsid w:val="00E8667E"/>
    <w:rsid w:val="00E86DA2"/>
    <w:rsid w:val="00E86DEA"/>
    <w:rsid w:val="00E86EA5"/>
    <w:rsid w:val="00E8707A"/>
    <w:rsid w:val="00E873C2"/>
    <w:rsid w:val="00E87804"/>
    <w:rsid w:val="00E90391"/>
    <w:rsid w:val="00E906C2"/>
    <w:rsid w:val="00E91E86"/>
    <w:rsid w:val="00E920C5"/>
    <w:rsid w:val="00E922E0"/>
    <w:rsid w:val="00E92F1E"/>
    <w:rsid w:val="00E93102"/>
    <w:rsid w:val="00E9311F"/>
    <w:rsid w:val="00E934D1"/>
    <w:rsid w:val="00E93FC7"/>
    <w:rsid w:val="00E94AF0"/>
    <w:rsid w:val="00E95D13"/>
    <w:rsid w:val="00E95DD3"/>
    <w:rsid w:val="00E96726"/>
    <w:rsid w:val="00E969D5"/>
    <w:rsid w:val="00EA0B8C"/>
    <w:rsid w:val="00EA0D8F"/>
    <w:rsid w:val="00EA30F0"/>
    <w:rsid w:val="00EA4918"/>
    <w:rsid w:val="00EA58D1"/>
    <w:rsid w:val="00EA61BC"/>
    <w:rsid w:val="00EA681A"/>
    <w:rsid w:val="00EA6ECA"/>
    <w:rsid w:val="00EA72D2"/>
    <w:rsid w:val="00EA735B"/>
    <w:rsid w:val="00EB1E69"/>
    <w:rsid w:val="00EB2086"/>
    <w:rsid w:val="00EB26AC"/>
    <w:rsid w:val="00EB2B4B"/>
    <w:rsid w:val="00EB3257"/>
    <w:rsid w:val="00EB3DA6"/>
    <w:rsid w:val="00EB50B4"/>
    <w:rsid w:val="00EB531A"/>
    <w:rsid w:val="00EB5BB4"/>
    <w:rsid w:val="00EB5EDF"/>
    <w:rsid w:val="00EB60FE"/>
    <w:rsid w:val="00EB616A"/>
    <w:rsid w:val="00EB655F"/>
    <w:rsid w:val="00EB6BF8"/>
    <w:rsid w:val="00EB74DB"/>
    <w:rsid w:val="00EC05BB"/>
    <w:rsid w:val="00EC0CA6"/>
    <w:rsid w:val="00EC1658"/>
    <w:rsid w:val="00EC1991"/>
    <w:rsid w:val="00EC2318"/>
    <w:rsid w:val="00EC2408"/>
    <w:rsid w:val="00EC2508"/>
    <w:rsid w:val="00EC3240"/>
    <w:rsid w:val="00EC428F"/>
    <w:rsid w:val="00EC4B26"/>
    <w:rsid w:val="00EC5359"/>
    <w:rsid w:val="00EC562A"/>
    <w:rsid w:val="00EC71E9"/>
    <w:rsid w:val="00ED067A"/>
    <w:rsid w:val="00ED1152"/>
    <w:rsid w:val="00ED224B"/>
    <w:rsid w:val="00ED2B50"/>
    <w:rsid w:val="00ED2BF1"/>
    <w:rsid w:val="00ED3DA0"/>
    <w:rsid w:val="00ED4C81"/>
    <w:rsid w:val="00ED4E81"/>
    <w:rsid w:val="00EE0326"/>
    <w:rsid w:val="00EE0350"/>
    <w:rsid w:val="00EE0719"/>
    <w:rsid w:val="00EE0E80"/>
    <w:rsid w:val="00EE1582"/>
    <w:rsid w:val="00EE2813"/>
    <w:rsid w:val="00EE512C"/>
    <w:rsid w:val="00EE54D2"/>
    <w:rsid w:val="00EE613F"/>
    <w:rsid w:val="00EE7295"/>
    <w:rsid w:val="00EE7869"/>
    <w:rsid w:val="00EE7DD5"/>
    <w:rsid w:val="00EE7E0E"/>
    <w:rsid w:val="00EF0069"/>
    <w:rsid w:val="00EF03CF"/>
    <w:rsid w:val="00EF054A"/>
    <w:rsid w:val="00EF132B"/>
    <w:rsid w:val="00EF254D"/>
    <w:rsid w:val="00EF3223"/>
    <w:rsid w:val="00EF3235"/>
    <w:rsid w:val="00EF4FBA"/>
    <w:rsid w:val="00EF7E72"/>
    <w:rsid w:val="00F00F0E"/>
    <w:rsid w:val="00F01CA1"/>
    <w:rsid w:val="00F021A6"/>
    <w:rsid w:val="00F03457"/>
    <w:rsid w:val="00F03920"/>
    <w:rsid w:val="00F06D37"/>
    <w:rsid w:val="00F0779D"/>
    <w:rsid w:val="00F07B9D"/>
    <w:rsid w:val="00F1057D"/>
    <w:rsid w:val="00F11586"/>
    <w:rsid w:val="00F1183B"/>
    <w:rsid w:val="00F11C9F"/>
    <w:rsid w:val="00F11D62"/>
    <w:rsid w:val="00F12263"/>
    <w:rsid w:val="00F122D8"/>
    <w:rsid w:val="00F12FA4"/>
    <w:rsid w:val="00F1409D"/>
    <w:rsid w:val="00F14214"/>
    <w:rsid w:val="00F14411"/>
    <w:rsid w:val="00F146BD"/>
    <w:rsid w:val="00F15190"/>
    <w:rsid w:val="00F157A9"/>
    <w:rsid w:val="00F15FCE"/>
    <w:rsid w:val="00F16649"/>
    <w:rsid w:val="00F16DFC"/>
    <w:rsid w:val="00F17B50"/>
    <w:rsid w:val="00F21D42"/>
    <w:rsid w:val="00F2237B"/>
    <w:rsid w:val="00F23EC1"/>
    <w:rsid w:val="00F24C0C"/>
    <w:rsid w:val="00F24FB9"/>
    <w:rsid w:val="00F25BB6"/>
    <w:rsid w:val="00F25FD0"/>
    <w:rsid w:val="00F26B7E"/>
    <w:rsid w:val="00F27604"/>
    <w:rsid w:val="00F2788F"/>
    <w:rsid w:val="00F27A3B"/>
    <w:rsid w:val="00F3085D"/>
    <w:rsid w:val="00F33817"/>
    <w:rsid w:val="00F33B45"/>
    <w:rsid w:val="00F34673"/>
    <w:rsid w:val="00F358AD"/>
    <w:rsid w:val="00F37D0C"/>
    <w:rsid w:val="00F40003"/>
    <w:rsid w:val="00F40A84"/>
    <w:rsid w:val="00F41378"/>
    <w:rsid w:val="00F417B6"/>
    <w:rsid w:val="00F4187F"/>
    <w:rsid w:val="00F420D5"/>
    <w:rsid w:val="00F43C25"/>
    <w:rsid w:val="00F4456E"/>
    <w:rsid w:val="00F44D76"/>
    <w:rsid w:val="00F451EA"/>
    <w:rsid w:val="00F45447"/>
    <w:rsid w:val="00F456C6"/>
    <w:rsid w:val="00F4577B"/>
    <w:rsid w:val="00F461DD"/>
    <w:rsid w:val="00F463FA"/>
    <w:rsid w:val="00F46496"/>
    <w:rsid w:val="00F4666B"/>
    <w:rsid w:val="00F468B0"/>
    <w:rsid w:val="00F474D0"/>
    <w:rsid w:val="00F50179"/>
    <w:rsid w:val="00F50717"/>
    <w:rsid w:val="00F5076E"/>
    <w:rsid w:val="00F51297"/>
    <w:rsid w:val="00F5189F"/>
    <w:rsid w:val="00F53D34"/>
    <w:rsid w:val="00F542F7"/>
    <w:rsid w:val="00F55A4B"/>
    <w:rsid w:val="00F56511"/>
    <w:rsid w:val="00F57E59"/>
    <w:rsid w:val="00F6194E"/>
    <w:rsid w:val="00F61FF4"/>
    <w:rsid w:val="00F623AC"/>
    <w:rsid w:val="00F62A26"/>
    <w:rsid w:val="00F6412A"/>
    <w:rsid w:val="00F645C7"/>
    <w:rsid w:val="00F65893"/>
    <w:rsid w:val="00F66A4A"/>
    <w:rsid w:val="00F67F81"/>
    <w:rsid w:val="00F705A0"/>
    <w:rsid w:val="00F71920"/>
    <w:rsid w:val="00F71E22"/>
    <w:rsid w:val="00F72142"/>
    <w:rsid w:val="00F72295"/>
    <w:rsid w:val="00F72AE7"/>
    <w:rsid w:val="00F72E8A"/>
    <w:rsid w:val="00F750AE"/>
    <w:rsid w:val="00F75DA6"/>
    <w:rsid w:val="00F75DFC"/>
    <w:rsid w:val="00F763A6"/>
    <w:rsid w:val="00F770DC"/>
    <w:rsid w:val="00F77401"/>
    <w:rsid w:val="00F80BFC"/>
    <w:rsid w:val="00F81AD9"/>
    <w:rsid w:val="00F83BE5"/>
    <w:rsid w:val="00F84184"/>
    <w:rsid w:val="00F84522"/>
    <w:rsid w:val="00F84934"/>
    <w:rsid w:val="00F84BE1"/>
    <w:rsid w:val="00F84FD0"/>
    <w:rsid w:val="00F859A8"/>
    <w:rsid w:val="00F90B8A"/>
    <w:rsid w:val="00F9108B"/>
    <w:rsid w:val="00F91349"/>
    <w:rsid w:val="00F91D67"/>
    <w:rsid w:val="00F929D0"/>
    <w:rsid w:val="00F92FCC"/>
    <w:rsid w:val="00F93923"/>
    <w:rsid w:val="00F93A8A"/>
    <w:rsid w:val="00F95248"/>
    <w:rsid w:val="00F956A9"/>
    <w:rsid w:val="00F958C7"/>
    <w:rsid w:val="00F963ED"/>
    <w:rsid w:val="00F966CF"/>
    <w:rsid w:val="00F96CAE"/>
    <w:rsid w:val="00F970E1"/>
    <w:rsid w:val="00F97C99"/>
    <w:rsid w:val="00FA2BB6"/>
    <w:rsid w:val="00FA2CFE"/>
    <w:rsid w:val="00FA34D0"/>
    <w:rsid w:val="00FA3E5E"/>
    <w:rsid w:val="00FA4AB2"/>
    <w:rsid w:val="00FA5B1F"/>
    <w:rsid w:val="00FA662D"/>
    <w:rsid w:val="00FA6A39"/>
    <w:rsid w:val="00FA6B96"/>
    <w:rsid w:val="00FA73B1"/>
    <w:rsid w:val="00FA7C7C"/>
    <w:rsid w:val="00FB0BC9"/>
    <w:rsid w:val="00FB0C76"/>
    <w:rsid w:val="00FB0CB9"/>
    <w:rsid w:val="00FB3D92"/>
    <w:rsid w:val="00FB45F1"/>
    <w:rsid w:val="00FB4A72"/>
    <w:rsid w:val="00FB54E8"/>
    <w:rsid w:val="00FB5727"/>
    <w:rsid w:val="00FB5F43"/>
    <w:rsid w:val="00FB61CE"/>
    <w:rsid w:val="00FB7054"/>
    <w:rsid w:val="00FB746D"/>
    <w:rsid w:val="00FC169F"/>
    <w:rsid w:val="00FC17B7"/>
    <w:rsid w:val="00FC1915"/>
    <w:rsid w:val="00FC1DC8"/>
    <w:rsid w:val="00FC2831"/>
    <w:rsid w:val="00FC2CB7"/>
    <w:rsid w:val="00FC31C0"/>
    <w:rsid w:val="00FC4090"/>
    <w:rsid w:val="00FC455D"/>
    <w:rsid w:val="00FC55B4"/>
    <w:rsid w:val="00FC581A"/>
    <w:rsid w:val="00FC5AD9"/>
    <w:rsid w:val="00FD00E6"/>
    <w:rsid w:val="00FD0184"/>
    <w:rsid w:val="00FD09A1"/>
    <w:rsid w:val="00FD101B"/>
    <w:rsid w:val="00FD2505"/>
    <w:rsid w:val="00FD2A7C"/>
    <w:rsid w:val="00FD2F52"/>
    <w:rsid w:val="00FD370D"/>
    <w:rsid w:val="00FD59EB"/>
    <w:rsid w:val="00FD603E"/>
    <w:rsid w:val="00FD629C"/>
    <w:rsid w:val="00FD7299"/>
    <w:rsid w:val="00FE0ACB"/>
    <w:rsid w:val="00FE1FBE"/>
    <w:rsid w:val="00FE2E3B"/>
    <w:rsid w:val="00FE2EF8"/>
    <w:rsid w:val="00FE3901"/>
    <w:rsid w:val="00FE4008"/>
    <w:rsid w:val="00FE4BCE"/>
    <w:rsid w:val="00FE4FA6"/>
    <w:rsid w:val="00FE54AE"/>
    <w:rsid w:val="00FE576A"/>
    <w:rsid w:val="00FE5906"/>
    <w:rsid w:val="00FE61B6"/>
    <w:rsid w:val="00FE61CF"/>
    <w:rsid w:val="00FE66EC"/>
    <w:rsid w:val="00FE7E79"/>
    <w:rsid w:val="00FF00A5"/>
    <w:rsid w:val="00FF11EF"/>
    <w:rsid w:val="00FF152B"/>
    <w:rsid w:val="00FF2A91"/>
    <w:rsid w:val="00FF3E7D"/>
    <w:rsid w:val="00FF54C3"/>
    <w:rsid w:val="00FF5994"/>
    <w:rsid w:val="00FF5B99"/>
    <w:rsid w:val="00FF64D5"/>
    <w:rsid w:val="00FF730C"/>
    <w:rsid w:val="00FF73F4"/>
    <w:rsid w:val="00FF7CE4"/>
    <w:rsid w:val="00FF7DBA"/>
    <w:rsid w:val="00FF7E39"/>
    <w:rsid w:val="01B22E6F"/>
    <w:rsid w:val="02257261"/>
    <w:rsid w:val="02B7624C"/>
    <w:rsid w:val="034675D0"/>
    <w:rsid w:val="036F560B"/>
    <w:rsid w:val="03DE5DE4"/>
    <w:rsid w:val="03F32162"/>
    <w:rsid w:val="040824AC"/>
    <w:rsid w:val="04180F6C"/>
    <w:rsid w:val="041C114C"/>
    <w:rsid w:val="04843FD2"/>
    <w:rsid w:val="04AF122E"/>
    <w:rsid w:val="04CE1B65"/>
    <w:rsid w:val="05195C99"/>
    <w:rsid w:val="0589451E"/>
    <w:rsid w:val="068A2FEA"/>
    <w:rsid w:val="069F5975"/>
    <w:rsid w:val="06FA758D"/>
    <w:rsid w:val="07BF13FB"/>
    <w:rsid w:val="07E63B29"/>
    <w:rsid w:val="07FEB938"/>
    <w:rsid w:val="085576FF"/>
    <w:rsid w:val="088F37C7"/>
    <w:rsid w:val="089776E6"/>
    <w:rsid w:val="08C87CAB"/>
    <w:rsid w:val="08E900A9"/>
    <w:rsid w:val="094D790A"/>
    <w:rsid w:val="09C661EE"/>
    <w:rsid w:val="0AB1758F"/>
    <w:rsid w:val="0AF017BA"/>
    <w:rsid w:val="0B9D58F1"/>
    <w:rsid w:val="0C1930EF"/>
    <w:rsid w:val="0DB70C97"/>
    <w:rsid w:val="0DD56562"/>
    <w:rsid w:val="0DEA0651"/>
    <w:rsid w:val="0E212BB1"/>
    <w:rsid w:val="0E416689"/>
    <w:rsid w:val="0E711117"/>
    <w:rsid w:val="0E7A751F"/>
    <w:rsid w:val="0EDF1931"/>
    <w:rsid w:val="0EEA1BC3"/>
    <w:rsid w:val="0F340778"/>
    <w:rsid w:val="0FA76CC9"/>
    <w:rsid w:val="0FBF70EB"/>
    <w:rsid w:val="0FEC7E81"/>
    <w:rsid w:val="107046C8"/>
    <w:rsid w:val="107D328B"/>
    <w:rsid w:val="10B85FB1"/>
    <w:rsid w:val="11123E16"/>
    <w:rsid w:val="113D0B63"/>
    <w:rsid w:val="118A0CAD"/>
    <w:rsid w:val="11A004BB"/>
    <w:rsid w:val="11A8539B"/>
    <w:rsid w:val="12456664"/>
    <w:rsid w:val="12AE70B4"/>
    <w:rsid w:val="12E261FA"/>
    <w:rsid w:val="136841DC"/>
    <w:rsid w:val="13B12809"/>
    <w:rsid w:val="13E60075"/>
    <w:rsid w:val="14353475"/>
    <w:rsid w:val="14447B5C"/>
    <w:rsid w:val="146460FF"/>
    <w:rsid w:val="146E3FB9"/>
    <w:rsid w:val="149F4407"/>
    <w:rsid w:val="14C45F2E"/>
    <w:rsid w:val="14D961C2"/>
    <w:rsid w:val="15CF4DB9"/>
    <w:rsid w:val="160772EA"/>
    <w:rsid w:val="16142D0A"/>
    <w:rsid w:val="16671AA6"/>
    <w:rsid w:val="169A78F0"/>
    <w:rsid w:val="16B17EE6"/>
    <w:rsid w:val="16BB5745"/>
    <w:rsid w:val="18707171"/>
    <w:rsid w:val="18CB0916"/>
    <w:rsid w:val="19861041"/>
    <w:rsid w:val="19BB0DFA"/>
    <w:rsid w:val="19C657E0"/>
    <w:rsid w:val="1C1004A0"/>
    <w:rsid w:val="1C723615"/>
    <w:rsid w:val="1CC73445"/>
    <w:rsid w:val="1D3C62A5"/>
    <w:rsid w:val="1D8B51E3"/>
    <w:rsid w:val="1DB63510"/>
    <w:rsid w:val="1DCF2BFB"/>
    <w:rsid w:val="1E8505AE"/>
    <w:rsid w:val="1F0E720D"/>
    <w:rsid w:val="1FF94DDA"/>
    <w:rsid w:val="203C4A51"/>
    <w:rsid w:val="212154AC"/>
    <w:rsid w:val="21A2734D"/>
    <w:rsid w:val="21D752D9"/>
    <w:rsid w:val="224376A4"/>
    <w:rsid w:val="22915F8E"/>
    <w:rsid w:val="23A04FA4"/>
    <w:rsid w:val="2406098A"/>
    <w:rsid w:val="247F4D5E"/>
    <w:rsid w:val="250C355C"/>
    <w:rsid w:val="25B65471"/>
    <w:rsid w:val="25C7239A"/>
    <w:rsid w:val="26D23F09"/>
    <w:rsid w:val="270D6DF8"/>
    <w:rsid w:val="284B6075"/>
    <w:rsid w:val="2877390A"/>
    <w:rsid w:val="29F64EC1"/>
    <w:rsid w:val="2A3C7514"/>
    <w:rsid w:val="2AAE0B0D"/>
    <w:rsid w:val="2B3020DA"/>
    <w:rsid w:val="2B614374"/>
    <w:rsid w:val="2B9C3C6C"/>
    <w:rsid w:val="2C832E96"/>
    <w:rsid w:val="2DEE659B"/>
    <w:rsid w:val="2E253A77"/>
    <w:rsid w:val="2F3F226F"/>
    <w:rsid w:val="2F6E35A3"/>
    <w:rsid w:val="2FA1598B"/>
    <w:rsid w:val="304F30AF"/>
    <w:rsid w:val="305B0BA3"/>
    <w:rsid w:val="305E56A9"/>
    <w:rsid w:val="3098505F"/>
    <w:rsid w:val="30E014C3"/>
    <w:rsid w:val="30EA5493"/>
    <w:rsid w:val="31AD72BE"/>
    <w:rsid w:val="31B43105"/>
    <w:rsid w:val="31BB424A"/>
    <w:rsid w:val="32172F5E"/>
    <w:rsid w:val="32C400EE"/>
    <w:rsid w:val="33167DD4"/>
    <w:rsid w:val="34786DC8"/>
    <w:rsid w:val="348374C5"/>
    <w:rsid w:val="35270E94"/>
    <w:rsid w:val="35FF9307"/>
    <w:rsid w:val="360A60B7"/>
    <w:rsid w:val="36284518"/>
    <w:rsid w:val="363336F4"/>
    <w:rsid w:val="36D53265"/>
    <w:rsid w:val="36DA3954"/>
    <w:rsid w:val="379B51A3"/>
    <w:rsid w:val="379F1C9A"/>
    <w:rsid w:val="38307F0A"/>
    <w:rsid w:val="38536068"/>
    <w:rsid w:val="3867629C"/>
    <w:rsid w:val="38821EC2"/>
    <w:rsid w:val="393A4330"/>
    <w:rsid w:val="39655F46"/>
    <w:rsid w:val="3A304090"/>
    <w:rsid w:val="3AE8273F"/>
    <w:rsid w:val="3AEB5702"/>
    <w:rsid w:val="3B4B5349"/>
    <w:rsid w:val="3BC7085E"/>
    <w:rsid w:val="3BFF030D"/>
    <w:rsid w:val="3C05263F"/>
    <w:rsid w:val="3C190A57"/>
    <w:rsid w:val="3CFF073A"/>
    <w:rsid w:val="3D3A643E"/>
    <w:rsid w:val="3D474522"/>
    <w:rsid w:val="3D660C6F"/>
    <w:rsid w:val="3D932FC2"/>
    <w:rsid w:val="3DE41DD3"/>
    <w:rsid w:val="3DED4BF3"/>
    <w:rsid w:val="3E35213F"/>
    <w:rsid w:val="3E3DE288"/>
    <w:rsid w:val="3E6438EA"/>
    <w:rsid w:val="3E7E5BD9"/>
    <w:rsid w:val="3FD9697F"/>
    <w:rsid w:val="3FDF2B0D"/>
    <w:rsid w:val="3FF56455"/>
    <w:rsid w:val="40B01F51"/>
    <w:rsid w:val="420430B0"/>
    <w:rsid w:val="429C72DC"/>
    <w:rsid w:val="42BF7070"/>
    <w:rsid w:val="42F91CDD"/>
    <w:rsid w:val="44134602"/>
    <w:rsid w:val="441B416B"/>
    <w:rsid w:val="442545E0"/>
    <w:rsid w:val="448A4CBF"/>
    <w:rsid w:val="44E01CBD"/>
    <w:rsid w:val="44E40213"/>
    <w:rsid w:val="44FE4DA7"/>
    <w:rsid w:val="454948E5"/>
    <w:rsid w:val="454A5443"/>
    <w:rsid w:val="454C73D3"/>
    <w:rsid w:val="456C505B"/>
    <w:rsid w:val="45E3217B"/>
    <w:rsid w:val="46194F05"/>
    <w:rsid w:val="46934A26"/>
    <w:rsid w:val="46C816AD"/>
    <w:rsid w:val="46E5678F"/>
    <w:rsid w:val="46EC0DA7"/>
    <w:rsid w:val="46F10708"/>
    <w:rsid w:val="476F3A46"/>
    <w:rsid w:val="47FB4CDC"/>
    <w:rsid w:val="481621BA"/>
    <w:rsid w:val="48D454AC"/>
    <w:rsid w:val="496E5ACF"/>
    <w:rsid w:val="498A4734"/>
    <w:rsid w:val="4AB64C9F"/>
    <w:rsid w:val="4B0F11C7"/>
    <w:rsid w:val="4B1C2428"/>
    <w:rsid w:val="4BD54EB9"/>
    <w:rsid w:val="4BDC009E"/>
    <w:rsid w:val="4C587687"/>
    <w:rsid w:val="4C5E0E23"/>
    <w:rsid w:val="4C6D3052"/>
    <w:rsid w:val="4C89761F"/>
    <w:rsid w:val="4C8C66A9"/>
    <w:rsid w:val="4CB229E2"/>
    <w:rsid w:val="4CCE6A8F"/>
    <w:rsid w:val="4CDC1C99"/>
    <w:rsid w:val="4D0B0C3B"/>
    <w:rsid w:val="4E61425B"/>
    <w:rsid w:val="4E84258B"/>
    <w:rsid w:val="4EAD187E"/>
    <w:rsid w:val="4EB2432B"/>
    <w:rsid w:val="4EBC743A"/>
    <w:rsid w:val="4FC33FAB"/>
    <w:rsid w:val="50D756B0"/>
    <w:rsid w:val="51BE39FF"/>
    <w:rsid w:val="52432C25"/>
    <w:rsid w:val="52582D20"/>
    <w:rsid w:val="531B3AB6"/>
    <w:rsid w:val="533B755D"/>
    <w:rsid w:val="534574C9"/>
    <w:rsid w:val="537517FC"/>
    <w:rsid w:val="5383568A"/>
    <w:rsid w:val="53A9514E"/>
    <w:rsid w:val="53BD07B5"/>
    <w:rsid w:val="540208BE"/>
    <w:rsid w:val="548631BF"/>
    <w:rsid w:val="54AC2D17"/>
    <w:rsid w:val="54E2614F"/>
    <w:rsid w:val="54E67F07"/>
    <w:rsid w:val="55AD724E"/>
    <w:rsid w:val="55D06361"/>
    <w:rsid w:val="55D1679A"/>
    <w:rsid w:val="55DFF1F6"/>
    <w:rsid w:val="561C0468"/>
    <w:rsid w:val="56823215"/>
    <w:rsid w:val="56877D25"/>
    <w:rsid w:val="57174A58"/>
    <w:rsid w:val="574944F5"/>
    <w:rsid w:val="575B0F10"/>
    <w:rsid w:val="581E72B5"/>
    <w:rsid w:val="58B41557"/>
    <w:rsid w:val="596F181F"/>
    <w:rsid w:val="59C76C2B"/>
    <w:rsid w:val="5A567ABF"/>
    <w:rsid w:val="5A7DF62D"/>
    <w:rsid w:val="5A7F650D"/>
    <w:rsid w:val="5A9B3497"/>
    <w:rsid w:val="5AE41C4A"/>
    <w:rsid w:val="5BAD55B3"/>
    <w:rsid w:val="5BB125FB"/>
    <w:rsid w:val="5BB94F93"/>
    <w:rsid w:val="5BF70B5C"/>
    <w:rsid w:val="5C4F36B6"/>
    <w:rsid w:val="5C7775A7"/>
    <w:rsid w:val="5CAF561E"/>
    <w:rsid w:val="5CFD54CF"/>
    <w:rsid w:val="5CFE2DDB"/>
    <w:rsid w:val="5CFFEAA3"/>
    <w:rsid w:val="5D1D2B85"/>
    <w:rsid w:val="5D4D1AA2"/>
    <w:rsid w:val="5DFD1C4F"/>
    <w:rsid w:val="5E531BE1"/>
    <w:rsid w:val="5E7D2D55"/>
    <w:rsid w:val="5ED25F4D"/>
    <w:rsid w:val="5F0B0627"/>
    <w:rsid w:val="5F1D035A"/>
    <w:rsid w:val="5F336F0A"/>
    <w:rsid w:val="5F50072F"/>
    <w:rsid w:val="5F7E2981"/>
    <w:rsid w:val="5F7F8F3F"/>
    <w:rsid w:val="5F8E4905"/>
    <w:rsid w:val="5FC829BC"/>
    <w:rsid w:val="601922A1"/>
    <w:rsid w:val="601B41B0"/>
    <w:rsid w:val="60211217"/>
    <w:rsid w:val="610031AD"/>
    <w:rsid w:val="616048E7"/>
    <w:rsid w:val="63651724"/>
    <w:rsid w:val="63BD0EA2"/>
    <w:rsid w:val="63D068C2"/>
    <w:rsid w:val="653E5D92"/>
    <w:rsid w:val="65E876D7"/>
    <w:rsid w:val="6650430A"/>
    <w:rsid w:val="66B7F0E3"/>
    <w:rsid w:val="66E44F9F"/>
    <w:rsid w:val="66EB2BB6"/>
    <w:rsid w:val="67F10517"/>
    <w:rsid w:val="682C062A"/>
    <w:rsid w:val="685505BB"/>
    <w:rsid w:val="68815DFE"/>
    <w:rsid w:val="68AB4402"/>
    <w:rsid w:val="69207F5F"/>
    <w:rsid w:val="694C01BA"/>
    <w:rsid w:val="696B8807"/>
    <w:rsid w:val="697A2F79"/>
    <w:rsid w:val="69F06B56"/>
    <w:rsid w:val="6B1B7652"/>
    <w:rsid w:val="6B243241"/>
    <w:rsid w:val="6B255E52"/>
    <w:rsid w:val="6B3D020E"/>
    <w:rsid w:val="6C12315A"/>
    <w:rsid w:val="6C1B0423"/>
    <w:rsid w:val="6C417983"/>
    <w:rsid w:val="6CAC44D2"/>
    <w:rsid w:val="6CFFE221"/>
    <w:rsid w:val="6D2F2315"/>
    <w:rsid w:val="6D3E5DEF"/>
    <w:rsid w:val="6EB8DA67"/>
    <w:rsid w:val="6F3205D2"/>
    <w:rsid w:val="6F3D2E48"/>
    <w:rsid w:val="6FDF1B4A"/>
    <w:rsid w:val="70057985"/>
    <w:rsid w:val="7060276F"/>
    <w:rsid w:val="706A52E7"/>
    <w:rsid w:val="7145129D"/>
    <w:rsid w:val="718022BA"/>
    <w:rsid w:val="71C56A3D"/>
    <w:rsid w:val="71F6A381"/>
    <w:rsid w:val="738C3CA1"/>
    <w:rsid w:val="74C7321E"/>
    <w:rsid w:val="74CF74B7"/>
    <w:rsid w:val="750D2DA5"/>
    <w:rsid w:val="75D002A3"/>
    <w:rsid w:val="763D6AE2"/>
    <w:rsid w:val="764C51EC"/>
    <w:rsid w:val="76F7A0DB"/>
    <w:rsid w:val="77BD91F6"/>
    <w:rsid w:val="77BE5A1A"/>
    <w:rsid w:val="77EA16F7"/>
    <w:rsid w:val="78073846"/>
    <w:rsid w:val="7811440A"/>
    <w:rsid w:val="7837711F"/>
    <w:rsid w:val="78393FFF"/>
    <w:rsid w:val="797D48DA"/>
    <w:rsid w:val="799E7F8C"/>
    <w:rsid w:val="79A715B3"/>
    <w:rsid w:val="79B926ED"/>
    <w:rsid w:val="79C23FD9"/>
    <w:rsid w:val="79D16E7A"/>
    <w:rsid w:val="79EF30F7"/>
    <w:rsid w:val="79FA691A"/>
    <w:rsid w:val="7A834CFC"/>
    <w:rsid w:val="7AE00762"/>
    <w:rsid w:val="7AFC853D"/>
    <w:rsid w:val="7B15597B"/>
    <w:rsid w:val="7B405C62"/>
    <w:rsid w:val="7B95174D"/>
    <w:rsid w:val="7BBF0060"/>
    <w:rsid w:val="7C1539F4"/>
    <w:rsid w:val="7C5F6F14"/>
    <w:rsid w:val="7CA10C1E"/>
    <w:rsid w:val="7CFF70D7"/>
    <w:rsid w:val="7D0D186A"/>
    <w:rsid w:val="7D9FEA32"/>
    <w:rsid w:val="7DCFC167"/>
    <w:rsid w:val="7DDB0F91"/>
    <w:rsid w:val="7DE20C95"/>
    <w:rsid w:val="7DF0B791"/>
    <w:rsid w:val="7DFA2325"/>
    <w:rsid w:val="7DFFD8CF"/>
    <w:rsid w:val="7E5D6ECD"/>
    <w:rsid w:val="7E67391F"/>
    <w:rsid w:val="7EBD1486"/>
    <w:rsid w:val="7ECF432C"/>
    <w:rsid w:val="7EDD0E3C"/>
    <w:rsid w:val="7EED771A"/>
    <w:rsid w:val="7F0171EB"/>
    <w:rsid w:val="7F0E1EAA"/>
    <w:rsid w:val="7F2BB236"/>
    <w:rsid w:val="7F5D5D7F"/>
    <w:rsid w:val="7F5F8ACA"/>
    <w:rsid w:val="7F7AAACA"/>
    <w:rsid w:val="7F7C963B"/>
    <w:rsid w:val="7F9D5B13"/>
    <w:rsid w:val="7FA31453"/>
    <w:rsid w:val="7FE749DE"/>
    <w:rsid w:val="7FFC8F2B"/>
    <w:rsid w:val="7FFFA122"/>
    <w:rsid w:val="8DF7DD47"/>
    <w:rsid w:val="A2DF67A4"/>
    <w:rsid w:val="A5DF7C00"/>
    <w:rsid w:val="AADF9D57"/>
    <w:rsid w:val="AEBF8620"/>
    <w:rsid w:val="AF77F692"/>
    <w:rsid w:val="AFB7EAEE"/>
    <w:rsid w:val="B7CD0537"/>
    <w:rsid w:val="BB9FB10D"/>
    <w:rsid w:val="BDEB4979"/>
    <w:rsid w:val="BF3F238E"/>
    <w:rsid w:val="BF7BEF25"/>
    <w:rsid w:val="BFC63EA3"/>
    <w:rsid w:val="BFE612D5"/>
    <w:rsid w:val="BFEF9A67"/>
    <w:rsid w:val="D65E155A"/>
    <w:rsid w:val="DC99B0B8"/>
    <w:rsid w:val="DDFF6508"/>
    <w:rsid w:val="DF7FD617"/>
    <w:rsid w:val="DFFD0345"/>
    <w:rsid w:val="DFFFCF0F"/>
    <w:rsid w:val="E5EF363C"/>
    <w:rsid w:val="E6DF6F6F"/>
    <w:rsid w:val="EF6F37FF"/>
    <w:rsid w:val="EF7BBBF7"/>
    <w:rsid w:val="EFA79985"/>
    <w:rsid w:val="EFBF9435"/>
    <w:rsid w:val="F23F0A6D"/>
    <w:rsid w:val="F672FD25"/>
    <w:rsid w:val="F6D7D064"/>
    <w:rsid w:val="F777D97E"/>
    <w:rsid w:val="F967FB3C"/>
    <w:rsid w:val="FAFF675F"/>
    <w:rsid w:val="FB7E9C1E"/>
    <w:rsid w:val="FBEEFDE8"/>
    <w:rsid w:val="FCFB7704"/>
    <w:rsid w:val="FDFFB4B7"/>
    <w:rsid w:val="FEFD5484"/>
    <w:rsid w:val="FF7E0C50"/>
    <w:rsid w:val="FF7E3DC7"/>
    <w:rsid w:val="FFC73F76"/>
    <w:rsid w:val="FFF68213"/>
    <w:rsid w:val="FFF91665"/>
    <w:rsid w:val="FFFF4A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6"/>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7"/>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8"/>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9"/>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qFormat/>
    <w:uiPriority w:val="0"/>
    <w:pPr>
      <w:adjustRightInd/>
      <w:spacing w:line="240" w:lineRule="auto"/>
      <w:jc w:val="left"/>
    </w:pPr>
    <w:rPr>
      <w:rFonts w:ascii="Times New Roman" w:hAnsi="Times New Roman"/>
      <w:szCs w:val="24"/>
    </w:rPr>
  </w:style>
  <w:style w:type="paragraph" w:styleId="14">
    <w:name w:val="Body Text"/>
    <w:basedOn w:val="1"/>
    <w:next w:val="1"/>
    <w:link w:val="92"/>
    <w:qFormat/>
    <w:uiPriority w:val="99"/>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Date"/>
    <w:basedOn w:val="1"/>
    <w:next w:val="1"/>
    <w:link w:val="288"/>
    <w:semiHidden/>
    <w:unhideWhenUsed/>
    <w:qFormat/>
    <w:uiPriority w:val="99"/>
    <w:pPr>
      <w:ind w:left="100" w:leftChars="2500"/>
    </w:pPr>
  </w:style>
  <w:style w:type="paragraph" w:styleId="18">
    <w:name w:val="Balloon Text"/>
    <w:basedOn w:val="1"/>
    <w:link w:val="51"/>
    <w:unhideWhenUsed/>
    <w:qFormat/>
    <w:uiPriority w:val="0"/>
    <w:rPr>
      <w:sz w:val="18"/>
      <w:szCs w:val="18"/>
    </w:rPr>
  </w:style>
  <w:style w:type="paragraph" w:styleId="19">
    <w:name w:val="footer"/>
    <w:basedOn w:val="1"/>
    <w:link w:val="41"/>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50"/>
    <w:qFormat/>
    <w:uiPriority w:val="0"/>
    <w:pPr>
      <w:framePr w:wrap="notBeside" w:vAnchor="page" w:hAnchor="page" w:x="1372" w:y="568"/>
      <w:adjustRightInd/>
      <w:snapToGrid w:val="0"/>
      <w:spacing w:line="240" w:lineRule="auto"/>
      <w:jc w:val="left"/>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5"/>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Normal (Web)"/>
    <w:basedOn w:val="1"/>
    <w:semiHidden/>
    <w:unhideWhenUsed/>
    <w:qFormat/>
    <w:uiPriority w:val="0"/>
    <w:pPr>
      <w:adjustRightInd/>
      <w:spacing w:beforeAutospacing="1" w:afterAutospacing="1" w:line="240" w:lineRule="auto"/>
      <w:jc w:val="left"/>
    </w:pPr>
    <w:rPr>
      <w:rFonts w:ascii="Times New Roman" w:hAnsi="Times New Roman"/>
      <w:kern w:val="0"/>
      <w:sz w:val="24"/>
      <w:szCs w:val="24"/>
    </w:rPr>
  </w:style>
  <w:style w:type="paragraph" w:styleId="28">
    <w:name w:val="Title"/>
    <w:basedOn w:val="1"/>
    <w:link w:val="54"/>
    <w:qFormat/>
    <w:uiPriority w:val="0"/>
    <w:pPr>
      <w:spacing w:before="240" w:after="60"/>
      <w:jc w:val="center"/>
      <w:outlineLvl w:val="0"/>
    </w:pPr>
    <w:rPr>
      <w:rFonts w:ascii="Arial" w:hAnsi="Arial" w:cs="Arial"/>
      <w:b/>
      <w:bCs/>
      <w:sz w:val="32"/>
      <w:szCs w:val="32"/>
    </w:rPr>
  </w:style>
  <w:style w:type="paragraph" w:styleId="29">
    <w:name w:val="annotation subject"/>
    <w:basedOn w:val="13"/>
    <w:next w:val="13"/>
    <w:link w:val="238"/>
    <w:qFormat/>
    <w:uiPriority w:val="0"/>
    <w:rPr>
      <w:b/>
      <w:bCs/>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qFormat/>
    <w:uiPriority w:val="0"/>
    <w:rPr>
      <w:rFonts w:ascii="宋体" w:hAnsi="Times New Roman" w:eastAsia="宋体"/>
      <w:sz w:val="18"/>
    </w:rPr>
  </w:style>
  <w:style w:type="character" w:styleId="35">
    <w:name w:val="FollowedHyperlink"/>
    <w:basedOn w:val="32"/>
    <w:semiHidden/>
    <w:unhideWhenUsed/>
    <w:qFormat/>
    <w:uiPriority w:val="99"/>
    <w:rPr>
      <w:color w:val="954F72" w:themeColor="followedHyperlink"/>
      <w:u w:val="single"/>
      <w14:textFill>
        <w14:solidFill>
          <w14:schemeClr w14:val="folHlink"/>
        </w14:solidFill>
      </w14:textFill>
    </w:rPr>
  </w:style>
  <w:style w:type="character" w:styleId="36">
    <w:name w:val="Emphasis"/>
    <w:qFormat/>
    <w:uiPriority w:val="20"/>
    <w:rPr>
      <w:i/>
      <w:iCs/>
    </w:rPr>
  </w:style>
  <w:style w:type="character" w:styleId="37">
    <w:name w:val="Hyperlink"/>
    <w:qFormat/>
    <w:uiPriority w:val="99"/>
    <w:rPr>
      <w:rFonts w:ascii="宋体" w:hAnsi="Times New Roman" w:eastAsia="宋体"/>
      <w:color w:val="auto"/>
      <w:spacing w:val="0"/>
      <w:w w:val="100"/>
      <w:position w:val="0"/>
      <w:sz w:val="21"/>
      <w:u w:val="none"/>
      <w:vertAlign w:val="baseline"/>
    </w:rPr>
  </w:style>
  <w:style w:type="character" w:styleId="38">
    <w:name w:val="annotation reference"/>
    <w:basedOn w:val="32"/>
    <w:qFormat/>
    <w:uiPriority w:val="0"/>
    <w:rPr>
      <w:sz w:val="21"/>
      <w:szCs w:val="21"/>
    </w:rPr>
  </w:style>
  <w:style w:type="character" w:styleId="39">
    <w:name w:val="footnote reference"/>
    <w:semiHidden/>
    <w:qFormat/>
    <w:uiPriority w:val="0"/>
    <w:rPr>
      <w:rFonts w:ascii="宋体" w:hAnsi="宋体" w:eastAsia="宋体" w:cs="Times New Roman"/>
      <w:spacing w:val="0"/>
      <w:sz w:val="18"/>
      <w:vertAlign w:val="superscript"/>
    </w:rPr>
  </w:style>
  <w:style w:type="character" w:customStyle="1" w:styleId="40">
    <w:name w:val="标题 3 字符"/>
    <w:link w:val="4"/>
    <w:qFormat/>
    <w:uiPriority w:val="0"/>
    <w:rPr>
      <w:rFonts w:ascii="Times New Roman" w:hAnsi="Times New Roman" w:eastAsia="宋体" w:cs="Times New Roman"/>
      <w:b/>
      <w:bCs/>
      <w:sz w:val="32"/>
      <w:szCs w:val="32"/>
    </w:rPr>
  </w:style>
  <w:style w:type="character" w:customStyle="1" w:styleId="41">
    <w:name w:val="页脚 字符"/>
    <w:link w:val="19"/>
    <w:qFormat/>
    <w:uiPriority w:val="99"/>
    <w:rPr>
      <w:rFonts w:ascii="宋体" w:hAnsi="Times New Roman" w:eastAsia="宋体" w:cs="Times New Roman"/>
      <w:sz w:val="18"/>
      <w:szCs w:val="18"/>
    </w:rPr>
  </w:style>
  <w:style w:type="character" w:customStyle="1" w:styleId="42">
    <w:name w:val="标题 1 字符"/>
    <w:link w:val="2"/>
    <w:qFormat/>
    <w:uiPriority w:val="0"/>
    <w:rPr>
      <w:rFonts w:ascii="Times New Roman" w:hAnsi="Times New Roman" w:eastAsia="宋体" w:cs="Times New Roman"/>
      <w:b/>
      <w:bCs/>
      <w:kern w:val="44"/>
      <w:sz w:val="44"/>
      <w:szCs w:val="44"/>
    </w:rPr>
  </w:style>
  <w:style w:type="character" w:customStyle="1" w:styleId="43">
    <w:name w:val="标题 5 字符"/>
    <w:link w:val="6"/>
    <w:qFormat/>
    <w:uiPriority w:val="0"/>
    <w:rPr>
      <w:rFonts w:ascii="Times New Roman" w:hAnsi="Times New Roman" w:eastAsia="宋体" w:cs="Times New Roman"/>
      <w:b/>
      <w:bCs/>
      <w:sz w:val="28"/>
      <w:szCs w:val="28"/>
    </w:rPr>
  </w:style>
  <w:style w:type="character" w:customStyle="1" w:styleId="44">
    <w:name w:val="标题 2 字符"/>
    <w:link w:val="3"/>
    <w:qFormat/>
    <w:uiPriority w:val="0"/>
    <w:rPr>
      <w:rFonts w:ascii="Arial" w:hAnsi="Arial" w:eastAsia="黑体" w:cs="Times New Roman"/>
      <w:b/>
      <w:bCs/>
      <w:sz w:val="32"/>
      <w:szCs w:val="32"/>
    </w:rPr>
  </w:style>
  <w:style w:type="character" w:customStyle="1" w:styleId="45">
    <w:name w:val="标题 4 字符"/>
    <w:link w:val="5"/>
    <w:qFormat/>
    <w:uiPriority w:val="0"/>
    <w:rPr>
      <w:rFonts w:ascii="Arial" w:hAnsi="Arial" w:eastAsia="黑体" w:cs="Times New Roman"/>
      <w:b/>
      <w:bCs/>
      <w:sz w:val="28"/>
      <w:szCs w:val="28"/>
    </w:rPr>
  </w:style>
  <w:style w:type="character" w:customStyle="1" w:styleId="46">
    <w:name w:val="标题 6 字符"/>
    <w:link w:val="7"/>
    <w:qFormat/>
    <w:uiPriority w:val="0"/>
    <w:rPr>
      <w:rFonts w:ascii="Arial" w:hAnsi="Arial" w:eastAsia="黑体" w:cs="Times New Roman"/>
      <w:b/>
      <w:bCs/>
      <w:sz w:val="24"/>
      <w:szCs w:val="24"/>
    </w:rPr>
  </w:style>
  <w:style w:type="character" w:customStyle="1" w:styleId="47">
    <w:name w:val="标题 7 字符"/>
    <w:link w:val="8"/>
    <w:qFormat/>
    <w:uiPriority w:val="0"/>
    <w:rPr>
      <w:rFonts w:ascii="Times New Roman" w:hAnsi="Times New Roman" w:eastAsia="宋体" w:cs="Times New Roman"/>
      <w:b/>
      <w:bCs/>
      <w:sz w:val="24"/>
      <w:szCs w:val="24"/>
    </w:rPr>
  </w:style>
  <w:style w:type="character" w:customStyle="1" w:styleId="48">
    <w:name w:val="标题 8 字符"/>
    <w:link w:val="9"/>
    <w:qFormat/>
    <w:uiPriority w:val="0"/>
    <w:rPr>
      <w:rFonts w:ascii="Arial" w:hAnsi="Arial" w:eastAsia="黑体" w:cs="Times New Roman"/>
      <w:sz w:val="24"/>
      <w:szCs w:val="24"/>
    </w:rPr>
  </w:style>
  <w:style w:type="character" w:customStyle="1" w:styleId="49">
    <w:name w:val="标题 9 字符"/>
    <w:link w:val="10"/>
    <w:qFormat/>
    <w:uiPriority w:val="0"/>
    <w:rPr>
      <w:rFonts w:ascii="Arial" w:hAnsi="Arial" w:eastAsia="黑体" w:cs="Times New Roman"/>
      <w:szCs w:val="21"/>
    </w:rPr>
  </w:style>
  <w:style w:type="character" w:customStyle="1" w:styleId="50">
    <w:name w:val="页眉 字符"/>
    <w:link w:val="20"/>
    <w:qFormat/>
    <w:uiPriority w:val="0"/>
    <w:rPr>
      <w:rFonts w:ascii="Calibri" w:hAnsi="Calibri"/>
      <w:kern w:val="2"/>
      <w:sz w:val="18"/>
      <w:szCs w:val="18"/>
    </w:rPr>
  </w:style>
  <w:style w:type="character" w:customStyle="1" w:styleId="51">
    <w:name w:val="批注框文本 字符"/>
    <w:link w:val="18"/>
    <w:qFormat/>
    <w:uiPriority w:val="0"/>
    <w:rPr>
      <w:sz w:val="18"/>
      <w:szCs w:val="18"/>
    </w:rPr>
  </w:style>
  <w:style w:type="paragraph" w:styleId="52">
    <w:name w:val="Quote"/>
    <w:basedOn w:val="1"/>
    <w:next w:val="1"/>
    <w:link w:val="53"/>
    <w:qFormat/>
    <w:uiPriority w:val="29"/>
    <w:rPr>
      <w:i/>
      <w:iCs/>
      <w:color w:val="000000"/>
    </w:rPr>
  </w:style>
  <w:style w:type="character" w:customStyle="1" w:styleId="53">
    <w:name w:val="引用 字符"/>
    <w:link w:val="52"/>
    <w:qFormat/>
    <w:uiPriority w:val="29"/>
    <w:rPr>
      <w:i/>
      <w:iCs/>
      <w:color w:val="000000"/>
    </w:rPr>
  </w:style>
  <w:style w:type="character" w:customStyle="1" w:styleId="54">
    <w:name w:val="标题 字符"/>
    <w:link w:val="28"/>
    <w:qFormat/>
    <w:uiPriority w:val="0"/>
    <w:rPr>
      <w:rFonts w:ascii="Arial" w:hAnsi="Arial" w:eastAsia="宋体" w:cs="Arial"/>
      <w:b/>
      <w:bCs/>
      <w:sz w:val="32"/>
      <w:szCs w:val="32"/>
    </w:rPr>
  </w:style>
  <w:style w:type="paragraph" w:customStyle="1" w:styleId="5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7">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9">
    <w:name w:val="标准书眉一"/>
    <w:qFormat/>
    <w:uiPriority w:val="0"/>
    <w:pPr>
      <w:jc w:val="both"/>
    </w:pPr>
    <w:rPr>
      <w:rFonts w:ascii="Times New Roman" w:hAnsi="Times New Roman" w:eastAsia="宋体" w:cs="Times New Roman"/>
      <w:lang w:val="en-US" w:eastAsia="zh-CN" w:bidi="ar-SA"/>
    </w:rPr>
  </w:style>
  <w:style w:type="paragraph" w:customStyle="1" w:styleId="60">
    <w:name w:val="标准文件_ICS"/>
    <w:basedOn w:val="1"/>
    <w:qFormat/>
    <w:uiPriority w:val="0"/>
    <w:pPr>
      <w:spacing w:line="0" w:lineRule="atLeast"/>
    </w:pPr>
    <w:rPr>
      <w:rFonts w:ascii="黑体" w:hAnsi="宋体" w:eastAsia="黑体"/>
    </w:rPr>
  </w:style>
  <w:style w:type="paragraph" w:customStyle="1" w:styleId="61">
    <w:name w:val="标准文件_标准正文"/>
    <w:basedOn w:val="1"/>
    <w:next w:val="62"/>
    <w:qFormat/>
    <w:uiPriority w:val="0"/>
    <w:pPr>
      <w:snapToGrid w:val="0"/>
      <w:ind w:firstLine="200" w:firstLineChars="200"/>
    </w:pPr>
    <w:rPr>
      <w:kern w:val="0"/>
    </w:rPr>
  </w:style>
  <w:style w:type="paragraph" w:customStyle="1" w:styleId="62">
    <w:name w:val="标准文件_段"/>
    <w:link w:val="190"/>
    <w:qFormat/>
    <w:uiPriority w:val="0"/>
    <w:pPr>
      <w:autoSpaceDE w:val="0"/>
      <w:autoSpaceDN w:val="0"/>
      <w:ind w:left="1110" w:leftChars="400" w:hanging="270" w:hangingChars="150"/>
      <w:jc w:val="both"/>
    </w:pPr>
    <w:rPr>
      <w:rFonts w:ascii="宋体" w:hAnsi="Times New Roman" w:eastAsia="黑体" w:cs="Times New Roman"/>
      <w:snapToGrid w:val="0"/>
      <w:sz w:val="18"/>
      <w:szCs w:val="18"/>
      <w:lang w:val="en-US" w:eastAsia="zh-CN" w:bidi="ar-SA"/>
    </w:rPr>
  </w:style>
  <w:style w:type="paragraph" w:customStyle="1" w:styleId="63">
    <w:name w:val="标准文件_版本"/>
    <w:basedOn w:val="61"/>
    <w:qFormat/>
    <w:uiPriority w:val="0"/>
    <w:pPr>
      <w:adjustRightInd/>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7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2"/>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2">
    <w:name w:val="标准文件_发布"/>
    <w:qFormat/>
    <w:uiPriority w:val="0"/>
    <w:rPr>
      <w:rFonts w:ascii="黑体" w:eastAsia="黑体"/>
      <w:spacing w:val="0"/>
      <w:w w:val="100"/>
      <w:position w:val="3"/>
      <w:sz w:val="28"/>
    </w:rPr>
  </w:style>
  <w:style w:type="paragraph" w:customStyle="1" w:styleId="73">
    <w:name w:val="标准文件_方框数字列项"/>
    <w:basedOn w:val="62"/>
    <w:qFormat/>
    <w:uiPriority w:val="0"/>
    <w:pPr>
      <w:numPr>
        <w:ilvl w:val="0"/>
        <w:numId w:val="3"/>
      </w:numPr>
      <w:ind w:firstLine="0" w:firstLineChars="0"/>
    </w:pPr>
  </w:style>
  <w:style w:type="paragraph" w:customStyle="1" w:styleId="74">
    <w:name w:val="标准文件_封面标准编号"/>
    <w:basedOn w:val="1"/>
    <w:next w:val="65"/>
    <w:qFormat/>
    <w:uiPriority w:val="0"/>
    <w:pPr>
      <w:spacing w:line="310" w:lineRule="exact"/>
      <w:jc w:val="right"/>
    </w:pPr>
    <w:rPr>
      <w:rFonts w:ascii="黑体" w:eastAsia="黑体"/>
      <w:kern w:val="0"/>
      <w:sz w:val="28"/>
    </w:rPr>
  </w:style>
  <w:style w:type="paragraph" w:customStyle="1" w:styleId="75">
    <w:name w:val="标准文件_封面标准分类号"/>
    <w:basedOn w:val="1"/>
    <w:qFormat/>
    <w:uiPriority w:val="0"/>
    <w:rPr>
      <w:rFonts w:ascii="黑体" w:eastAsia="黑体"/>
      <w:b/>
      <w:kern w:val="0"/>
      <w:sz w:val="28"/>
    </w:rPr>
  </w:style>
  <w:style w:type="paragraph" w:customStyle="1" w:styleId="76">
    <w:name w:val="标准文件_封面标准名称"/>
    <w:basedOn w:val="1"/>
    <w:qFormat/>
    <w:uiPriority w:val="0"/>
    <w:pPr>
      <w:spacing w:line="240" w:lineRule="auto"/>
      <w:jc w:val="center"/>
    </w:pPr>
    <w:rPr>
      <w:rFonts w:ascii="黑体" w:eastAsia="黑体"/>
      <w:kern w:val="0"/>
      <w:sz w:val="52"/>
    </w:rPr>
  </w:style>
  <w:style w:type="paragraph" w:customStyle="1" w:styleId="77">
    <w:name w:val="标准文件_封面标准英文名称"/>
    <w:basedOn w:val="1"/>
    <w:qFormat/>
    <w:uiPriority w:val="0"/>
    <w:pPr>
      <w:spacing w:line="240" w:lineRule="auto"/>
      <w:jc w:val="center"/>
    </w:pPr>
    <w:rPr>
      <w:rFonts w:ascii="黑体" w:eastAsia="黑体"/>
      <w:b/>
      <w:sz w:val="28"/>
    </w:rPr>
  </w:style>
  <w:style w:type="paragraph" w:customStyle="1" w:styleId="78">
    <w:name w:val="标准文件_封面发布日期"/>
    <w:basedOn w:val="1"/>
    <w:qFormat/>
    <w:uiPriority w:val="0"/>
    <w:pPr>
      <w:spacing w:line="310" w:lineRule="exact"/>
    </w:pPr>
    <w:rPr>
      <w:rFonts w:ascii="黑体" w:eastAsia="黑体"/>
      <w:kern w:val="0"/>
      <w:sz w:val="28"/>
    </w:rPr>
  </w:style>
  <w:style w:type="paragraph" w:customStyle="1" w:styleId="79">
    <w:name w:val="标准文件_封面密级"/>
    <w:basedOn w:val="1"/>
    <w:qFormat/>
    <w:uiPriority w:val="0"/>
    <w:rPr>
      <w:rFonts w:eastAsia="黑体"/>
      <w:sz w:val="32"/>
    </w:rPr>
  </w:style>
  <w:style w:type="paragraph" w:customStyle="1" w:styleId="80">
    <w:name w:val="标准文件_封面实施日期"/>
    <w:basedOn w:val="1"/>
    <w:qFormat/>
    <w:uiPriority w:val="0"/>
    <w:pPr>
      <w:spacing w:line="310" w:lineRule="exact"/>
      <w:jc w:val="right"/>
    </w:pPr>
    <w:rPr>
      <w:rFonts w:ascii="黑体" w:eastAsia="黑体"/>
      <w:sz w:val="28"/>
    </w:rPr>
  </w:style>
  <w:style w:type="paragraph" w:customStyle="1" w:styleId="81">
    <w:name w:val="标准文件_封面抬头"/>
    <w:basedOn w:val="62"/>
    <w:qFormat/>
    <w:uiPriority w:val="0"/>
    <w:pPr>
      <w:adjustRightInd w:val="0"/>
      <w:spacing w:line="800" w:lineRule="exact"/>
      <w:ind w:firstLine="0" w:firstLineChars="0"/>
      <w:jc w:val="distribute"/>
    </w:pPr>
    <w:rPr>
      <w:rFonts w:ascii="黑体"/>
      <w:b/>
      <w:sz w:val="64"/>
    </w:rPr>
  </w:style>
  <w:style w:type="paragraph" w:customStyle="1" w:styleId="82">
    <w:name w:val="标准文件_附录标识"/>
    <w:next w:val="62"/>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2"/>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2"/>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2"/>
    <w:qFormat/>
    <w:uiPriority w:val="0"/>
    <w:pPr>
      <w:widowControl/>
      <w:numPr>
        <w:ilvl w:val="2"/>
      </w:numPr>
      <w:wordWrap w:val="0"/>
      <w:overflowPunct w:val="0"/>
      <w:autoSpaceDE w:val="0"/>
      <w:autoSpaceDN w:val="0"/>
      <w:textAlignment w:val="baseline"/>
      <w:outlineLvl w:val="3"/>
    </w:pPr>
  </w:style>
  <w:style w:type="paragraph" w:customStyle="1" w:styleId="86">
    <w:name w:val="标准文件_附录公式"/>
    <w:basedOn w:val="61"/>
    <w:next w:val="6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2"/>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2"/>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2"/>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0">
    <w:name w:val="标准文件_附录五级条标题"/>
    <w:next w:val="62"/>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2">
    <w:name w:val="正文文本 字符"/>
    <w:link w:val="14"/>
    <w:qFormat/>
    <w:uiPriority w:val="99"/>
    <w:rPr>
      <w:rFonts w:ascii="Times New Roman" w:hAnsi="Times New Roman" w:eastAsia="宋体" w:cs="Times New Roman"/>
      <w:szCs w:val="20"/>
    </w:rPr>
  </w:style>
  <w:style w:type="paragraph" w:customStyle="1" w:styleId="93">
    <w:name w:val="标准文件_附录章标题"/>
    <w:next w:val="6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标准文件_公式后的破折号"/>
    <w:basedOn w:val="62"/>
    <w:next w:val="62"/>
    <w:qFormat/>
    <w:uiPriority w:val="0"/>
    <w:pPr>
      <w:ind w:left="488" w:leftChars="200" w:hanging="289" w:hangingChars="290"/>
    </w:pPr>
  </w:style>
  <w:style w:type="paragraph" w:customStyle="1" w:styleId="95">
    <w:name w:val="标准文件_前言、引言标题"/>
    <w:next w:val="1"/>
    <w:qFormat/>
    <w:uiPriority w:val="0"/>
    <w:pPr>
      <w:numPr>
        <w:ilvl w:val="0"/>
        <w:numId w:val="8"/>
      </w:numPr>
      <w:shd w:val="clear" w:color="FFFFFF" w:fill="FFFFFF"/>
      <w:spacing w:after="150" w:afterLines="150"/>
      <w:jc w:val="center"/>
      <w:outlineLvl w:val="0"/>
    </w:pPr>
    <w:rPr>
      <w:rFonts w:ascii="黑体" w:hAnsi="Times New Roman" w:eastAsia="黑体" w:cs="Times New Roman"/>
      <w:sz w:val="32"/>
      <w:lang w:val="en-US" w:eastAsia="zh-CN" w:bidi="ar-SA"/>
    </w:rPr>
  </w:style>
  <w:style w:type="paragraph" w:customStyle="1" w:styleId="96">
    <w:name w:val="标准文件_目次、标准名称标题"/>
    <w:basedOn w:val="95"/>
    <w:next w:val="62"/>
    <w:qFormat/>
    <w:uiPriority w:val="0"/>
    <w:pPr>
      <w:spacing w:line="460" w:lineRule="exact"/>
    </w:pPr>
  </w:style>
  <w:style w:type="paragraph" w:customStyle="1" w:styleId="97">
    <w:name w:val="标准文件_目录标题"/>
    <w:basedOn w:val="1"/>
    <w:qFormat/>
    <w:uiPriority w:val="0"/>
    <w:pPr>
      <w:spacing w:after="150" w:afterLines="150" w:line="240" w:lineRule="auto"/>
      <w:jc w:val="center"/>
    </w:pPr>
    <w:rPr>
      <w:rFonts w:ascii="黑体" w:eastAsia="黑体"/>
      <w:sz w:val="32"/>
    </w:rPr>
  </w:style>
  <w:style w:type="paragraph" w:customStyle="1" w:styleId="98">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9">
    <w:name w:val="标准文件_破折号列项（二级）"/>
    <w:basedOn w:val="98"/>
    <w:qFormat/>
    <w:uiPriority w:val="0"/>
    <w:pPr>
      <w:numPr>
        <w:numId w:val="10"/>
      </w:numPr>
      <w:ind w:left="0" w:firstLine="200"/>
    </w:pPr>
  </w:style>
  <w:style w:type="paragraph" w:customStyle="1" w:styleId="100">
    <w:name w:val="标准文件_三级条标题"/>
    <w:basedOn w:val="71"/>
    <w:next w:val="62"/>
    <w:qFormat/>
    <w:uiPriority w:val="0"/>
    <w:pPr>
      <w:widowControl/>
      <w:numPr>
        <w:ilvl w:val="4"/>
      </w:numPr>
      <w:outlineLvl w:val="3"/>
    </w:pPr>
  </w:style>
  <w:style w:type="character" w:customStyle="1" w:styleId="101">
    <w:name w:val="不明显参考1"/>
    <w:qFormat/>
    <w:uiPriority w:val="31"/>
    <w:rPr>
      <w:smallCaps/>
      <w:color w:val="C0504D"/>
      <w:u w:val="single"/>
    </w:rPr>
  </w:style>
  <w:style w:type="paragraph" w:customStyle="1" w:styleId="102">
    <w:name w:val="标准文件_示例后续"/>
    <w:basedOn w:val="1"/>
    <w:qFormat/>
    <w:uiPriority w:val="0"/>
    <w:pPr>
      <w:adjustRightInd/>
      <w:spacing w:line="240" w:lineRule="auto"/>
      <w:ind w:firstLine="200" w:firstLineChars="200"/>
    </w:pPr>
    <w:rPr>
      <w:sz w:val="18"/>
      <w:szCs w:val="24"/>
    </w:rPr>
  </w:style>
  <w:style w:type="paragraph" w:customStyle="1" w:styleId="103">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4">
    <w:name w:val="标准文件_四级条标题"/>
    <w:next w:val="62"/>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5">
    <w:name w:val="脚注文本 字符"/>
    <w:link w:val="23"/>
    <w:semiHidden/>
    <w:qFormat/>
    <w:uiPriority w:val="0"/>
    <w:rPr>
      <w:rFonts w:ascii="宋体" w:hAnsi="Times New Roman" w:eastAsia="宋体" w:cs="Times New Roman"/>
      <w:sz w:val="18"/>
      <w:szCs w:val="18"/>
    </w:rPr>
  </w:style>
  <w:style w:type="paragraph" w:customStyle="1" w:styleId="106">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62"/>
    <w:qFormat/>
    <w:uiPriority w:val="0"/>
    <w:pPr>
      <w:numPr>
        <w:ilvl w:val="0"/>
        <w:numId w:val="12"/>
      </w:numPr>
      <w:spacing w:line="240" w:lineRule="auto"/>
      <w:jc w:val="left"/>
    </w:pPr>
    <w:rPr>
      <w:rFonts w:ascii="宋体" w:hAnsi="宋体"/>
      <w:sz w:val="18"/>
    </w:rPr>
  </w:style>
  <w:style w:type="character" w:customStyle="1" w:styleId="108">
    <w:name w:val="标准文件_图表脚注内容"/>
    <w:qFormat/>
    <w:uiPriority w:val="0"/>
    <w:rPr>
      <w:rFonts w:ascii="宋体" w:hAnsi="宋体" w:eastAsia="宋体" w:cs="Times New Roman"/>
      <w:spacing w:val="0"/>
      <w:sz w:val="18"/>
      <w:vertAlign w:val="superscript"/>
    </w:rPr>
  </w:style>
  <w:style w:type="paragraph" w:customStyle="1" w:styleId="109">
    <w:name w:val="标准文件_五级条标题"/>
    <w:next w:val="62"/>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0">
    <w:name w:val="标准文件_章标题"/>
    <w:next w:val="6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1">
    <w:name w:val="标准文件_一级条标题"/>
    <w:basedOn w:val="110"/>
    <w:next w:val="62"/>
    <w:qFormat/>
    <w:uiPriority w:val="0"/>
    <w:pPr>
      <w:numPr>
        <w:ilvl w:val="2"/>
      </w:numPr>
      <w:spacing w:before="50" w:beforeLines="50" w:after="50" w:afterLines="50"/>
      <w:outlineLvl w:val="1"/>
    </w:pPr>
  </w:style>
  <w:style w:type="paragraph" w:customStyle="1" w:styleId="112">
    <w:name w:val="标准文件_一致程度"/>
    <w:basedOn w:val="1"/>
    <w:qFormat/>
    <w:uiPriority w:val="0"/>
    <w:pPr>
      <w:spacing w:line="440" w:lineRule="exact"/>
      <w:jc w:val="center"/>
    </w:pPr>
    <w:rPr>
      <w:sz w:val="28"/>
    </w:rPr>
  </w:style>
  <w:style w:type="paragraph" w:customStyle="1" w:styleId="113">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4">
    <w:name w:val="标准文件_英文图表脚注"/>
    <w:basedOn w:val="61"/>
    <w:qFormat/>
    <w:uiPriority w:val="0"/>
    <w:pPr>
      <w:widowControl/>
      <w:adjustRightInd/>
      <w:snapToGrid/>
      <w:spacing w:line="240" w:lineRule="auto"/>
      <w:ind w:left="79" w:hanging="79" w:hangingChars="80"/>
    </w:pPr>
    <w:rPr>
      <w:rFonts w:ascii="宋体" w:hAnsi="宋体"/>
    </w:rPr>
  </w:style>
  <w:style w:type="paragraph" w:customStyle="1" w:styleId="115">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6">
    <w:name w:val="标准文件_英文注："/>
    <w:basedOn w:val="1"/>
    <w:next w:val="62"/>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7">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8">
    <w:name w:val="标准文件_正文表标题"/>
    <w:next w:val="62"/>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公式"/>
    <w:basedOn w:val="1"/>
    <w:next w:val="61"/>
    <w:qFormat/>
    <w:uiPriority w:val="0"/>
    <w:pPr>
      <w:tabs>
        <w:tab w:val="center" w:pos="4678"/>
        <w:tab w:val="right" w:leader="middleDot" w:pos="9356"/>
      </w:tabs>
      <w:spacing w:line="240" w:lineRule="auto"/>
    </w:pPr>
    <w:rPr>
      <w:rFonts w:ascii="宋体" w:hAnsi="宋体"/>
    </w:rPr>
  </w:style>
  <w:style w:type="paragraph" w:customStyle="1" w:styleId="120">
    <w:name w:val="标准文件_正文图标题"/>
    <w:next w:val="62"/>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1">
    <w:name w:val="标准文件_正文英文表标题"/>
    <w:next w:val="6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正文英文图标题"/>
    <w:next w:val="6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3">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4">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5">
    <w:name w:val="发布部门"/>
    <w:next w:val="6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7">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2">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3">
    <w:name w:val="封面正文"/>
    <w:qFormat/>
    <w:uiPriority w:val="0"/>
    <w:pPr>
      <w:jc w:val="both"/>
    </w:pPr>
    <w:rPr>
      <w:rFonts w:ascii="Times New Roman" w:hAnsi="Times New Roman" w:eastAsia="宋体" w:cs="Times New Roman"/>
      <w:lang w:val="en-US" w:eastAsia="zh-CN" w:bidi="ar-SA"/>
    </w:rPr>
  </w:style>
  <w:style w:type="paragraph" w:customStyle="1" w:styleId="134">
    <w:name w:val="附录二级无标题条"/>
    <w:basedOn w:val="1"/>
    <w:next w:val="6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5">
    <w:name w:val="附录三级无标题条"/>
    <w:basedOn w:val="134"/>
    <w:next w:val="62"/>
    <w:qFormat/>
    <w:uiPriority w:val="0"/>
    <w:pPr>
      <w:outlineLvl w:val="4"/>
    </w:pPr>
  </w:style>
  <w:style w:type="paragraph" w:customStyle="1" w:styleId="136">
    <w:name w:val="附录四级无标题条"/>
    <w:basedOn w:val="135"/>
    <w:next w:val="62"/>
    <w:qFormat/>
    <w:uiPriority w:val="0"/>
    <w:pPr>
      <w:outlineLvl w:val="5"/>
    </w:pPr>
  </w:style>
  <w:style w:type="paragraph" w:customStyle="1" w:styleId="137">
    <w:name w:val="附录图"/>
    <w:next w:val="6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8">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9">
    <w:name w:val="附录五级无标题条"/>
    <w:basedOn w:val="136"/>
    <w:next w:val="62"/>
    <w:qFormat/>
    <w:uiPriority w:val="0"/>
    <w:pPr>
      <w:outlineLvl w:val="6"/>
    </w:pPr>
  </w:style>
  <w:style w:type="paragraph" w:customStyle="1" w:styleId="140">
    <w:name w:val="附录性质"/>
    <w:basedOn w:val="1"/>
    <w:qFormat/>
    <w:uiPriority w:val="0"/>
    <w:pPr>
      <w:widowControl/>
      <w:adjustRightInd/>
      <w:jc w:val="center"/>
    </w:pPr>
    <w:rPr>
      <w:rFonts w:ascii="黑体" w:eastAsia="黑体"/>
    </w:rPr>
  </w:style>
  <w:style w:type="paragraph" w:customStyle="1" w:styleId="141">
    <w:name w:val="附录一级无标题条"/>
    <w:basedOn w:val="93"/>
    <w:next w:val="62"/>
    <w:qFormat/>
    <w:uiPriority w:val="0"/>
    <w:pPr>
      <w:autoSpaceDN w:val="0"/>
      <w:outlineLvl w:val="2"/>
    </w:pPr>
    <w:rPr>
      <w:rFonts w:ascii="宋体" w:hAnsi="宋体" w:eastAsia="宋体"/>
    </w:rPr>
  </w:style>
  <w:style w:type="character" w:customStyle="1" w:styleId="142">
    <w:name w:val="个人答复风格"/>
    <w:qFormat/>
    <w:uiPriority w:val="0"/>
    <w:rPr>
      <w:rFonts w:ascii="Arial" w:hAnsi="Arial" w:eastAsia="宋体" w:cs="Arial"/>
      <w:color w:val="auto"/>
      <w:spacing w:val="0"/>
      <w:sz w:val="20"/>
    </w:rPr>
  </w:style>
  <w:style w:type="character" w:customStyle="1" w:styleId="143">
    <w:name w:val="个人撰写风格"/>
    <w:qFormat/>
    <w:uiPriority w:val="0"/>
    <w:rPr>
      <w:rFonts w:ascii="Arial" w:hAnsi="Arial" w:eastAsia="宋体" w:cs="Arial"/>
      <w:color w:val="auto"/>
      <w:spacing w:val="0"/>
      <w:sz w:val="20"/>
    </w:rPr>
  </w:style>
  <w:style w:type="paragraph" w:customStyle="1" w:styleId="144">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5">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6">
    <w:name w:val="列项·"/>
    <w:basedOn w:val="62"/>
    <w:qFormat/>
    <w:uiPriority w:val="0"/>
    <w:pPr>
      <w:tabs>
        <w:tab w:val="left" w:pos="840"/>
      </w:tabs>
    </w:pPr>
  </w:style>
  <w:style w:type="paragraph" w:customStyle="1" w:styleId="14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目录 21"/>
    <w:basedOn w:val="1"/>
    <w:next w:val="1"/>
    <w:semiHidden/>
    <w:qFormat/>
    <w:uiPriority w:val="0"/>
    <w:pPr>
      <w:adjustRightInd/>
      <w:spacing w:line="240" w:lineRule="auto"/>
      <w:jc w:val="left"/>
    </w:pPr>
    <w:rPr>
      <w:bCs/>
      <w:iCs/>
    </w:rPr>
  </w:style>
  <w:style w:type="paragraph" w:customStyle="1" w:styleId="149">
    <w:name w:val="目录 31"/>
    <w:basedOn w:val="1"/>
    <w:next w:val="1"/>
    <w:semiHidden/>
    <w:qFormat/>
    <w:uiPriority w:val="0"/>
    <w:pPr>
      <w:spacing w:line="240" w:lineRule="auto"/>
    </w:pPr>
    <w:rPr>
      <w:rFonts w:ascii="宋体" w:hAnsi="宋体"/>
      <w:iCs/>
    </w:rPr>
  </w:style>
  <w:style w:type="paragraph" w:customStyle="1" w:styleId="150">
    <w:name w:val="目录 41"/>
    <w:basedOn w:val="1"/>
    <w:next w:val="1"/>
    <w:semiHidden/>
    <w:qFormat/>
    <w:uiPriority w:val="0"/>
    <w:pPr>
      <w:adjustRightInd/>
      <w:spacing w:line="240" w:lineRule="auto"/>
      <w:jc w:val="left"/>
    </w:pPr>
  </w:style>
  <w:style w:type="paragraph" w:customStyle="1" w:styleId="151">
    <w:name w:val="目录 51"/>
    <w:basedOn w:val="1"/>
    <w:next w:val="1"/>
    <w:semiHidden/>
    <w:qFormat/>
    <w:uiPriority w:val="0"/>
    <w:pPr>
      <w:spacing w:line="240" w:lineRule="auto"/>
    </w:pPr>
    <w:rPr>
      <w:rFonts w:ascii="宋体" w:hAnsi="宋体"/>
    </w:rPr>
  </w:style>
  <w:style w:type="paragraph" w:customStyle="1" w:styleId="152">
    <w:name w:val="目录 61"/>
    <w:basedOn w:val="1"/>
    <w:next w:val="1"/>
    <w:semiHidden/>
    <w:qFormat/>
    <w:uiPriority w:val="0"/>
    <w:pPr>
      <w:adjustRightInd/>
      <w:spacing w:line="240" w:lineRule="auto"/>
      <w:jc w:val="left"/>
    </w:pPr>
  </w:style>
  <w:style w:type="paragraph" w:customStyle="1" w:styleId="153">
    <w:name w:val="目录 71"/>
    <w:basedOn w:val="152"/>
    <w:semiHidden/>
    <w:qFormat/>
    <w:uiPriority w:val="0"/>
    <w:pPr>
      <w:ind w:left="1260"/>
    </w:pPr>
  </w:style>
  <w:style w:type="paragraph" w:customStyle="1" w:styleId="154">
    <w:name w:val="目录 81"/>
    <w:basedOn w:val="153"/>
    <w:semiHidden/>
    <w:qFormat/>
    <w:uiPriority w:val="0"/>
    <w:pPr>
      <w:ind w:left="1470"/>
    </w:pPr>
  </w:style>
  <w:style w:type="paragraph" w:customStyle="1" w:styleId="155">
    <w:name w:val="目录 91"/>
    <w:basedOn w:val="154"/>
    <w:semiHidden/>
    <w:qFormat/>
    <w:uiPriority w:val="0"/>
    <w:pPr>
      <w:ind w:left="1680"/>
    </w:pPr>
  </w:style>
  <w:style w:type="paragraph" w:customStyle="1" w:styleId="15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7">
    <w:name w:val="其他发布部门"/>
    <w:basedOn w:val="125"/>
    <w:qFormat/>
    <w:uiPriority w:val="0"/>
    <w:pPr>
      <w:framePr w:wrap="around"/>
      <w:spacing w:line="0" w:lineRule="atLeast"/>
    </w:pPr>
    <w:rPr>
      <w:rFonts w:ascii="黑体" w:eastAsia="黑体"/>
      <w:b w:val="0"/>
    </w:rPr>
  </w:style>
  <w:style w:type="paragraph" w:customStyle="1" w:styleId="158">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9">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0">
    <w:name w:val="实施日期"/>
    <w:basedOn w:val="126"/>
    <w:qFormat/>
    <w:uiPriority w:val="0"/>
    <w:pPr>
      <w:framePr w:hSpace="0" w:wrap="around" w:xAlign="right"/>
      <w:jc w:val="right"/>
    </w:pPr>
  </w:style>
  <w:style w:type="paragraph" w:customStyle="1" w:styleId="161">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62"/>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qFormat/>
    <w:uiPriority w:val="0"/>
    <w:pPr>
      <w:numPr>
        <w:ilvl w:val="6"/>
        <w:numId w:val="20"/>
      </w:numPr>
      <w:adjustRightInd/>
    </w:pPr>
    <w:rPr>
      <w:szCs w:val="24"/>
    </w:rPr>
  </w:style>
  <w:style w:type="paragraph" w:customStyle="1" w:styleId="165">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qFormat/>
    <w:uiPriority w:val="0"/>
    <w:pPr>
      <w:ind w:left="1406" w:leftChars="0" w:hanging="499" w:firstLineChars="0"/>
    </w:pPr>
  </w:style>
  <w:style w:type="paragraph" w:customStyle="1" w:styleId="168">
    <w:name w:val="标准文件_一级无标题"/>
    <w:basedOn w:val="111"/>
    <w:qFormat/>
    <w:uiPriority w:val="0"/>
    <w:pPr>
      <w:spacing w:before="0" w:beforeLines="0" w:after="0" w:afterLines="0"/>
      <w:outlineLvl w:val="9"/>
    </w:pPr>
    <w:rPr>
      <w:rFonts w:ascii="宋体" w:eastAsia="宋体"/>
    </w:rPr>
  </w:style>
  <w:style w:type="paragraph" w:customStyle="1" w:styleId="169">
    <w:name w:val="标准文件_五级无标题"/>
    <w:basedOn w:val="109"/>
    <w:qFormat/>
    <w:uiPriority w:val="0"/>
    <w:pPr>
      <w:spacing w:before="0" w:beforeLines="0" w:after="0" w:afterLines="0"/>
      <w:outlineLvl w:val="9"/>
    </w:pPr>
    <w:rPr>
      <w:rFonts w:ascii="宋体" w:eastAsia="宋体"/>
    </w:rPr>
  </w:style>
  <w:style w:type="paragraph" w:customStyle="1" w:styleId="170">
    <w:name w:val="标准文件_三级无标题"/>
    <w:basedOn w:val="100"/>
    <w:qFormat/>
    <w:uiPriority w:val="0"/>
    <w:pPr>
      <w:spacing w:before="0" w:beforeLines="0" w:after="0" w:afterLines="0"/>
      <w:outlineLvl w:val="9"/>
    </w:pPr>
    <w:rPr>
      <w:rFonts w:ascii="宋体" w:eastAsia="宋体"/>
    </w:rPr>
  </w:style>
  <w:style w:type="paragraph" w:customStyle="1" w:styleId="171">
    <w:name w:val="标准文件_二级无标题"/>
    <w:basedOn w:val="71"/>
    <w:qFormat/>
    <w:uiPriority w:val="0"/>
    <w:pPr>
      <w:spacing w:before="0" w:beforeLines="0" w:after="0" w:afterLines="0"/>
      <w:outlineLvl w:val="9"/>
    </w:pPr>
    <w:rPr>
      <w:rFonts w:ascii="宋体" w:eastAsia="宋体"/>
    </w:rPr>
  </w:style>
  <w:style w:type="paragraph" w:customStyle="1" w:styleId="172">
    <w:name w:val="标准_四级无标题"/>
    <w:basedOn w:val="104"/>
    <w:next w:val="62"/>
    <w:qFormat/>
    <w:uiPriority w:val="0"/>
    <w:rPr>
      <w:rFonts w:eastAsia="宋体"/>
    </w:rPr>
  </w:style>
  <w:style w:type="paragraph" w:customStyle="1" w:styleId="173">
    <w:name w:val="标准文件_四级无标题"/>
    <w:basedOn w:val="104"/>
    <w:qFormat/>
    <w:uiPriority w:val="0"/>
    <w:pPr>
      <w:spacing w:before="0" w:beforeLines="0" w:after="0" w:afterLines="0"/>
      <w:outlineLvl w:val="9"/>
    </w:pPr>
    <w:rPr>
      <w:rFonts w:ascii="宋体" w:hAnsi="黑体" w:eastAsia="宋体"/>
      <w:szCs w:val="52"/>
    </w:rPr>
  </w:style>
  <w:style w:type="paragraph" w:customStyle="1" w:styleId="174">
    <w:name w:val="标准文件_大写罗马数字编号列项"/>
    <w:basedOn w:val="62"/>
    <w:qFormat/>
    <w:uiPriority w:val="0"/>
    <w:pPr>
      <w:numPr>
        <w:ilvl w:val="0"/>
        <w:numId w:val="23"/>
      </w:numPr>
      <w:ind w:firstLine="0" w:firstLineChars="0"/>
    </w:pPr>
    <w:rPr>
      <w:rFonts w:ascii="Times New Roman" w:cs="Arial"/>
      <w:szCs w:val="28"/>
    </w:rPr>
  </w:style>
  <w:style w:type="paragraph" w:customStyle="1" w:styleId="175">
    <w:name w:val="标准文件_小写罗马数字编号列项"/>
    <w:basedOn w:val="62"/>
    <w:qFormat/>
    <w:uiPriority w:val="0"/>
    <w:pPr>
      <w:numPr>
        <w:ilvl w:val="0"/>
        <w:numId w:val="24"/>
      </w:numPr>
      <w:ind w:firstLine="0" w:firstLineChars="0"/>
    </w:pPr>
    <w:rPr>
      <w:rFonts w:cs="Arial"/>
      <w:szCs w:val="28"/>
    </w:rPr>
  </w:style>
  <w:style w:type="paragraph" w:customStyle="1" w:styleId="176">
    <w:name w:val="标准文件_附录标题"/>
    <w:basedOn w:val="82"/>
    <w:qFormat/>
    <w:uiPriority w:val="0"/>
    <w:pPr>
      <w:numPr>
        <w:numId w:val="0"/>
      </w:numPr>
      <w:spacing w:after="280"/>
      <w:outlineLvl w:val="9"/>
    </w:pPr>
  </w:style>
  <w:style w:type="paragraph" w:customStyle="1" w:styleId="177">
    <w:name w:val="标准文件_二级项"/>
    <w:qFormat/>
    <w:uiPriority w:val="0"/>
    <w:rPr>
      <w:rFonts w:ascii="宋体" w:hAnsi="Times New Roman" w:eastAsia="宋体" w:cs="Times New Roman"/>
      <w:sz w:val="21"/>
      <w:lang w:val="en-US" w:eastAsia="zh-CN" w:bidi="ar-SA"/>
    </w:rPr>
  </w:style>
  <w:style w:type="paragraph" w:customStyle="1" w:styleId="178">
    <w:name w:val="标准文件_三级项"/>
    <w:basedOn w:val="1"/>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62"/>
    <w:qFormat/>
    <w:uiPriority w:val="0"/>
    <w:pPr>
      <w:numPr>
        <w:ilvl w:val="0"/>
        <w:numId w:val="25"/>
      </w:numPr>
      <w:adjustRightInd/>
      <w:spacing w:line="240" w:lineRule="auto"/>
      <w:ind w:left="783"/>
    </w:pPr>
    <w:rPr>
      <w:rFonts w:ascii="宋体" w:hAnsi="Times New Roman"/>
      <w:sz w:val="18"/>
      <w:szCs w:val="18"/>
    </w:rPr>
  </w:style>
  <w:style w:type="paragraph" w:customStyle="1" w:styleId="180">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1">
    <w:name w:val="标准文件_索引字母"/>
    <w:next w:val="62"/>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6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2"/>
    <w:qFormat/>
    <w:uiPriority w:val="0"/>
    <w:pPr>
      <w:ind w:firstLine="0" w:firstLineChars="0"/>
      <w:jc w:val="center"/>
    </w:pPr>
  </w:style>
  <w:style w:type="paragraph" w:customStyle="1" w:styleId="185">
    <w:name w:val="标准文件_注："/>
    <w:next w:val="6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62"/>
    <w:qFormat/>
    <w:uiPriority w:val="0"/>
    <w:pPr>
      <w:ind w:firstLine="420"/>
    </w:pPr>
  </w:style>
  <w:style w:type="paragraph" w:customStyle="1" w:styleId="189">
    <w:name w:val="标准文件_示例×："/>
    <w:basedOn w:val="1"/>
    <w:next w:val="188"/>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62"/>
    <w:qFormat/>
    <w:uiPriority w:val="0"/>
    <w:rPr>
      <w:rFonts w:ascii="宋体" w:eastAsia="黑体"/>
      <w:snapToGrid w:val="0"/>
      <w:sz w:val="18"/>
      <w:szCs w:val="18"/>
    </w:rPr>
  </w:style>
  <w:style w:type="paragraph" w:customStyle="1" w:styleId="191">
    <w:name w:val="标准文件_表格续"/>
    <w:basedOn w:val="62"/>
    <w:next w:val="62"/>
    <w:qFormat/>
    <w:uiPriority w:val="0"/>
    <w:pPr>
      <w:jc w:val="center"/>
    </w:pPr>
    <w:rPr>
      <w:rFonts w:ascii="黑体" w:hAnsi="黑体"/>
    </w:rPr>
  </w:style>
  <w:style w:type="character" w:styleId="192">
    <w:name w:val="Placeholder Text"/>
    <w:basedOn w:val="32"/>
    <w:semiHidden/>
    <w:qFormat/>
    <w:uiPriority w:val="99"/>
    <w:rPr>
      <w:color w:val="808080"/>
    </w:rPr>
  </w:style>
  <w:style w:type="paragraph" w:customStyle="1" w:styleId="193">
    <w:name w:val="标准文件_二级项2"/>
    <w:basedOn w:val="62"/>
    <w:qFormat/>
    <w:uiPriority w:val="0"/>
    <w:pPr>
      <w:numPr>
        <w:ilvl w:val="1"/>
        <w:numId w:val="21"/>
      </w:numPr>
      <w:ind w:left="1271" w:hanging="420" w:firstLineChars="0"/>
    </w:pPr>
  </w:style>
  <w:style w:type="paragraph" w:customStyle="1" w:styleId="194">
    <w:name w:val="标准文件_三级项2"/>
    <w:basedOn w:val="62"/>
    <w:qFormat/>
    <w:uiPriority w:val="0"/>
    <w:pPr>
      <w:numPr>
        <w:ilvl w:val="0"/>
        <w:numId w:val="30"/>
      </w:numPr>
      <w:spacing w:line="300" w:lineRule="exact"/>
      <w:ind w:left="1276" w:hanging="425" w:firstLineChars="0"/>
    </w:pPr>
    <w:rPr>
      <w:rFonts w:ascii="Times New Roman"/>
    </w:rPr>
  </w:style>
  <w:style w:type="paragraph" w:customStyle="1" w:styleId="195">
    <w:name w:val="标准文件_一级项2"/>
    <w:basedOn w:val="62"/>
    <w:qFormat/>
    <w:uiPriority w:val="0"/>
    <w:pPr>
      <w:numPr>
        <w:ilvl w:val="0"/>
        <w:numId w:val="31"/>
      </w:numPr>
      <w:spacing w:line="300" w:lineRule="exact"/>
      <w:ind w:left="1271" w:hanging="420" w:firstLineChars="0"/>
    </w:pPr>
    <w:rPr>
      <w:rFonts w:ascii="Times New Roman"/>
    </w:rPr>
  </w:style>
  <w:style w:type="paragraph" w:customStyle="1" w:styleId="196">
    <w:name w:val="标准文件_提示"/>
    <w:basedOn w:val="62"/>
    <w:next w:val="62"/>
    <w:qFormat/>
    <w:uiPriority w:val="0"/>
    <w:pPr>
      <w:ind w:firstLine="420"/>
    </w:pPr>
    <w:rPr>
      <w:rFonts w:ascii="黑体"/>
    </w:rPr>
  </w:style>
  <w:style w:type="character" w:customStyle="1" w:styleId="197">
    <w:name w:val="标准文件_来源"/>
    <w:basedOn w:val="32"/>
    <w:qFormat/>
    <w:uiPriority w:val="1"/>
    <w:rPr>
      <w:rFonts w:eastAsia="宋体"/>
      <w:sz w:val="21"/>
    </w:rPr>
  </w:style>
  <w:style w:type="paragraph" w:customStyle="1" w:styleId="19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6"/>
    <w:qFormat/>
    <w:uiPriority w:val="0"/>
    <w:pPr>
      <w:framePr w:w="3997" w:h="471" w:hRule="exact" w:hSpace="0" w:vSpace="181" w:wrap="around" w:vAnchor="page" w:hAnchor="page" w:x="1419" w:y="14097"/>
    </w:pPr>
  </w:style>
  <w:style w:type="paragraph" w:customStyle="1" w:styleId="200">
    <w:name w:val="其他实施日期"/>
    <w:basedOn w:val="160"/>
    <w:qFormat/>
    <w:uiPriority w:val="0"/>
    <w:pPr>
      <w:framePr w:w="3997" w:h="471" w:hRule="exact" w:vSpace="181" w:wrap="around" w:vAnchor="page" w:hAnchor="page" w:x="7089" w:y="14097"/>
    </w:pPr>
  </w:style>
  <w:style w:type="paragraph" w:customStyle="1" w:styleId="201">
    <w:name w:val="标准文件_文件编号"/>
    <w:basedOn w:val="62"/>
    <w:qFormat/>
    <w:uiPriority w:val="0"/>
    <w:pPr>
      <w:framePr w:w="9356" w:h="624" w:hRule="exact" w:hSpace="181" w:vSpace="181" w:wrap="around" w:vAnchor="page" w:hAnchor="page" w:x="1419" w:y="3284"/>
      <w:wordWrap w:val="0"/>
      <w:spacing w:line="280" w:lineRule="exact"/>
      <w:ind w:firstLine="0" w:firstLineChars="0"/>
      <w:jc w:val="right"/>
    </w:pPr>
    <w:rPr>
      <w:rFonts w:ascii="黑体"/>
      <w:bCs/>
      <w:sz w:val="28"/>
      <w:szCs w:val="28"/>
    </w:rPr>
  </w:style>
  <w:style w:type="paragraph" w:customStyle="1" w:styleId="202">
    <w:name w:val="标准文件_替换文件编号"/>
    <w:basedOn w:val="201"/>
    <w:qFormat/>
    <w:uiPriority w:val="0"/>
    <w:pPr>
      <w:framePr w:wrap="around"/>
      <w:spacing w:before="57"/>
    </w:pPr>
    <w:rPr>
      <w:sz w:val="21"/>
    </w:rPr>
  </w:style>
  <w:style w:type="paragraph" w:customStyle="1" w:styleId="203">
    <w:name w:val="标准文件_文件名称"/>
    <w:basedOn w:val="62"/>
    <w:next w:val="62"/>
    <w:qFormat/>
    <w:uiPriority w:val="0"/>
    <w:pPr>
      <w:framePr w:w="9639" w:h="6976" w:hRule="exact" w:wrap="around" w:vAnchor="page" w:hAnchor="page" w:y="6408"/>
      <w:autoSpaceDE/>
      <w:autoSpaceDN/>
      <w:spacing w:line="700" w:lineRule="exact"/>
      <w:ind w:firstLine="0" w:firstLineChars="0"/>
      <w:jc w:val="center"/>
    </w:pPr>
    <w:rPr>
      <w:rFonts w:ascii="黑体" w:hAnsi="黑体"/>
      <w:bCs/>
      <w:sz w:val="52"/>
    </w:rPr>
  </w:style>
  <w:style w:type="paragraph" w:customStyle="1" w:styleId="204">
    <w:name w:val="标准文件_附录图标号"/>
    <w:basedOn w:val="62"/>
    <w:next w:val="62"/>
    <w:qFormat/>
    <w:uiPriority w:val="0"/>
    <w:pPr>
      <w:numPr>
        <w:ilvl w:val="0"/>
        <w:numId w:val="6"/>
      </w:numPr>
      <w:spacing w:line="14" w:lineRule="exact"/>
      <w:ind w:firstLine="0" w:firstLineChars="0"/>
      <w:jc w:val="center"/>
    </w:pPr>
    <w:rPr>
      <w:rFonts w:ascii="黑体" w:hAnsi="黑体"/>
      <w:vanish/>
      <w:sz w:val="2"/>
      <w:szCs w:val="21"/>
    </w:rPr>
  </w:style>
  <w:style w:type="paragraph" w:customStyle="1" w:styleId="205">
    <w:name w:val="标准文件_附录表标号"/>
    <w:basedOn w:val="62"/>
    <w:next w:val="62"/>
    <w:qFormat/>
    <w:uiPriority w:val="0"/>
    <w:pPr>
      <w:numPr>
        <w:ilvl w:val="0"/>
        <w:numId w:val="5"/>
      </w:numPr>
      <w:spacing w:line="14" w:lineRule="exact"/>
      <w:ind w:firstLine="0" w:firstLineChars="0"/>
      <w:jc w:val="center"/>
    </w:pPr>
    <w:rPr>
      <w:vanish/>
      <w:sz w:val="2"/>
    </w:rPr>
  </w:style>
  <w:style w:type="paragraph" w:customStyle="1" w:styleId="206">
    <w:name w:val="标准文件_引言一级条标题"/>
    <w:basedOn w:val="62"/>
    <w:next w:val="62"/>
    <w:qFormat/>
    <w:uiPriority w:val="0"/>
    <w:pPr>
      <w:numPr>
        <w:ilvl w:val="1"/>
        <w:numId w:val="8"/>
      </w:numPr>
      <w:spacing w:before="50" w:beforeLines="50" w:after="50" w:afterLines="50"/>
      <w:ind w:firstLineChars="0"/>
    </w:pPr>
    <w:rPr>
      <w:rFonts w:ascii="黑体"/>
    </w:rPr>
  </w:style>
  <w:style w:type="paragraph" w:customStyle="1" w:styleId="207">
    <w:name w:val="标准文件_引言二级条标题"/>
    <w:basedOn w:val="62"/>
    <w:next w:val="62"/>
    <w:qFormat/>
    <w:uiPriority w:val="0"/>
    <w:pPr>
      <w:numPr>
        <w:ilvl w:val="2"/>
        <w:numId w:val="8"/>
      </w:numPr>
      <w:spacing w:before="50" w:beforeLines="50" w:after="50" w:afterLines="50"/>
      <w:ind w:firstLineChars="0"/>
    </w:pPr>
    <w:rPr>
      <w:rFonts w:ascii="黑体"/>
    </w:rPr>
  </w:style>
  <w:style w:type="paragraph" w:customStyle="1" w:styleId="208">
    <w:name w:val="标准文件_引言三级条标题"/>
    <w:basedOn w:val="62"/>
    <w:next w:val="62"/>
    <w:qFormat/>
    <w:uiPriority w:val="0"/>
    <w:pPr>
      <w:numPr>
        <w:ilvl w:val="3"/>
        <w:numId w:val="8"/>
      </w:numPr>
      <w:spacing w:before="50" w:beforeLines="50" w:after="50" w:afterLines="50"/>
      <w:ind w:firstLineChars="0"/>
    </w:pPr>
    <w:rPr>
      <w:rFonts w:ascii="黑体"/>
    </w:rPr>
  </w:style>
  <w:style w:type="paragraph" w:customStyle="1" w:styleId="209">
    <w:name w:val="标准文件_引言四级条标题"/>
    <w:basedOn w:val="62"/>
    <w:next w:val="62"/>
    <w:qFormat/>
    <w:uiPriority w:val="0"/>
    <w:pPr>
      <w:numPr>
        <w:ilvl w:val="4"/>
        <w:numId w:val="8"/>
      </w:numPr>
      <w:spacing w:before="50" w:beforeLines="50" w:after="50" w:afterLines="50"/>
      <w:ind w:firstLineChars="0"/>
    </w:pPr>
    <w:rPr>
      <w:rFonts w:ascii="黑体"/>
    </w:rPr>
  </w:style>
  <w:style w:type="paragraph" w:customStyle="1" w:styleId="210">
    <w:name w:val="标准文件_引言五级条标题"/>
    <w:basedOn w:val="62"/>
    <w:next w:val="62"/>
    <w:qFormat/>
    <w:uiPriority w:val="0"/>
    <w:pPr>
      <w:numPr>
        <w:ilvl w:val="5"/>
        <w:numId w:val="8"/>
      </w:numPr>
      <w:spacing w:before="50" w:beforeLines="50" w:after="50" w:afterLines="50"/>
      <w:ind w:firstLineChars="0"/>
    </w:pPr>
    <w:rPr>
      <w:rFonts w:ascii="黑体"/>
    </w:rPr>
  </w:style>
  <w:style w:type="paragraph" w:customStyle="1" w:styleId="211">
    <w:name w:val="标准文件_注后"/>
    <w:basedOn w:val="62"/>
    <w:qFormat/>
    <w:uiPriority w:val="0"/>
    <w:pPr>
      <w:ind w:left="811" w:firstLine="0" w:firstLineChars="0"/>
    </w:pPr>
  </w:style>
  <w:style w:type="paragraph" w:customStyle="1" w:styleId="212">
    <w:name w:val="标准文件_注X后"/>
    <w:basedOn w:val="62"/>
    <w:qFormat/>
    <w:uiPriority w:val="0"/>
    <w:pPr>
      <w:ind w:left="811" w:firstLine="0" w:firstLineChars="0"/>
    </w:pPr>
  </w:style>
  <w:style w:type="paragraph" w:customStyle="1" w:styleId="213">
    <w:name w:val="标准文件_示例后"/>
    <w:basedOn w:val="62"/>
    <w:qFormat/>
    <w:uiPriority w:val="0"/>
    <w:pPr>
      <w:ind w:left="964" w:firstLine="0" w:firstLineChars="0"/>
    </w:pPr>
  </w:style>
  <w:style w:type="paragraph" w:customStyle="1" w:styleId="214">
    <w:name w:val="标准文件_示例X后"/>
    <w:basedOn w:val="62"/>
    <w:link w:val="215"/>
    <w:qFormat/>
    <w:uiPriority w:val="0"/>
    <w:pPr>
      <w:ind w:left="1049" w:firstLine="0" w:firstLineChars="0"/>
    </w:pPr>
  </w:style>
  <w:style w:type="character" w:customStyle="1" w:styleId="215">
    <w:name w:val="标准文件_示例X后 字符"/>
    <w:basedOn w:val="190"/>
    <w:link w:val="214"/>
    <w:qFormat/>
    <w:uiPriority w:val="0"/>
    <w:rPr>
      <w:rFonts w:ascii="宋体" w:hAnsi="Times New Roman" w:eastAsia="黑体"/>
      <w:snapToGrid w:val="0"/>
      <w:sz w:val="18"/>
      <w:szCs w:val="18"/>
    </w:rPr>
  </w:style>
  <w:style w:type="paragraph" w:customStyle="1" w:styleId="216">
    <w:name w:val="标准文件_索引项"/>
    <w:basedOn w:val="62"/>
    <w:next w:val="62"/>
    <w:qFormat/>
    <w:uiPriority w:val="0"/>
    <w:pPr>
      <w:tabs>
        <w:tab w:val="right" w:leader="dot" w:pos="9356"/>
      </w:tabs>
      <w:ind w:left="210" w:hanging="210" w:firstLineChars="0"/>
      <w:jc w:val="left"/>
    </w:pPr>
  </w:style>
  <w:style w:type="paragraph" w:customStyle="1" w:styleId="217">
    <w:name w:val="标准文件_附录一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二级无标题"/>
    <w:basedOn w:val="85"/>
    <w:qFormat/>
    <w:uiPriority w:val="0"/>
    <w:pPr>
      <w:spacing w:before="0" w:beforeLines="0" w:after="0" w:afterLines="0" w:line="276" w:lineRule="auto"/>
      <w:outlineLvl w:val="9"/>
    </w:pPr>
    <w:rPr>
      <w:rFonts w:ascii="宋体" w:eastAsia="宋体"/>
    </w:rPr>
  </w:style>
  <w:style w:type="paragraph" w:customStyle="1" w:styleId="219">
    <w:name w:val="标准文件_附录三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四级无标题"/>
    <w:basedOn w:val="88"/>
    <w:qFormat/>
    <w:uiPriority w:val="0"/>
    <w:pPr>
      <w:spacing w:before="0" w:beforeLines="0" w:after="0" w:afterLines="0" w:line="276" w:lineRule="auto"/>
      <w:outlineLvl w:val="9"/>
    </w:pPr>
    <w:rPr>
      <w:rFonts w:ascii="宋体" w:eastAsia="宋体"/>
    </w:rPr>
  </w:style>
  <w:style w:type="paragraph" w:customStyle="1" w:styleId="221">
    <w:name w:val="标准文件_附录五级无标题"/>
    <w:basedOn w:val="90"/>
    <w:qFormat/>
    <w:uiPriority w:val="0"/>
    <w:pPr>
      <w:spacing w:before="0" w:beforeLines="0" w:after="0" w:afterLines="0" w:line="276" w:lineRule="auto"/>
      <w:outlineLvl w:val="9"/>
    </w:pPr>
    <w:rPr>
      <w:rFonts w:ascii="宋体" w:eastAsia="宋体"/>
    </w:rPr>
  </w:style>
  <w:style w:type="paragraph" w:customStyle="1" w:styleId="222">
    <w:name w:val="标准文件_引言一级无标题"/>
    <w:basedOn w:val="206"/>
    <w:next w:val="62"/>
    <w:qFormat/>
    <w:uiPriority w:val="0"/>
    <w:pPr>
      <w:spacing w:before="0" w:beforeLines="0" w:after="0" w:afterLines="0" w:line="276" w:lineRule="auto"/>
    </w:pPr>
    <w:rPr>
      <w:rFonts w:ascii="宋体" w:eastAsia="宋体"/>
    </w:rPr>
  </w:style>
  <w:style w:type="paragraph" w:customStyle="1" w:styleId="223">
    <w:name w:val="标准文件_引言二级无标题"/>
    <w:basedOn w:val="207"/>
    <w:next w:val="62"/>
    <w:qFormat/>
    <w:uiPriority w:val="0"/>
    <w:pPr>
      <w:spacing w:before="0" w:beforeLines="0" w:after="0" w:afterLines="0" w:line="276" w:lineRule="auto"/>
    </w:pPr>
    <w:rPr>
      <w:rFonts w:ascii="宋体" w:eastAsia="宋体"/>
    </w:rPr>
  </w:style>
  <w:style w:type="paragraph" w:customStyle="1" w:styleId="224">
    <w:name w:val="标准文件_引言三级无标题"/>
    <w:basedOn w:val="208"/>
    <w:qFormat/>
    <w:uiPriority w:val="0"/>
    <w:pPr>
      <w:spacing w:before="0" w:beforeLines="0" w:after="0" w:afterLines="0" w:line="276" w:lineRule="auto"/>
    </w:pPr>
    <w:rPr>
      <w:rFonts w:ascii="宋体" w:eastAsia="宋体"/>
    </w:rPr>
  </w:style>
  <w:style w:type="paragraph" w:customStyle="1" w:styleId="225">
    <w:name w:val="标准文件_引言四级无标题"/>
    <w:basedOn w:val="209"/>
    <w:next w:val="62"/>
    <w:qFormat/>
    <w:uiPriority w:val="0"/>
    <w:pPr>
      <w:spacing w:before="0" w:beforeLines="0" w:after="0" w:afterLines="0" w:line="276" w:lineRule="auto"/>
    </w:pPr>
    <w:rPr>
      <w:rFonts w:ascii="宋体" w:eastAsia="宋体"/>
    </w:rPr>
  </w:style>
  <w:style w:type="paragraph" w:customStyle="1" w:styleId="226">
    <w:name w:val="标准文件_引言五级无标题"/>
    <w:basedOn w:val="210"/>
    <w:next w:val="62"/>
    <w:qFormat/>
    <w:uiPriority w:val="0"/>
    <w:pPr>
      <w:spacing w:before="0" w:beforeLines="0" w:after="0" w:afterLines="0" w:line="276" w:lineRule="auto"/>
    </w:pPr>
    <w:rPr>
      <w:rFonts w:ascii="宋体" w:eastAsia="宋体"/>
    </w:rPr>
  </w:style>
  <w:style w:type="paragraph" w:customStyle="1" w:styleId="227">
    <w:name w:val="标准文件_索引标题"/>
    <w:basedOn w:val="69"/>
    <w:next w:val="62"/>
    <w:qFormat/>
    <w:uiPriority w:val="0"/>
    <w:rPr>
      <w:rFonts w:hAnsi="黑体"/>
    </w:rPr>
  </w:style>
  <w:style w:type="paragraph" w:customStyle="1" w:styleId="228">
    <w:name w:val="标准文件_脚注内容"/>
    <w:basedOn w:val="62"/>
    <w:qFormat/>
    <w:uiPriority w:val="0"/>
    <w:pPr>
      <w:ind w:left="400" w:leftChars="200" w:hanging="200" w:hangingChars="200"/>
    </w:pPr>
    <w:rPr>
      <w:sz w:val="15"/>
    </w:rPr>
  </w:style>
  <w:style w:type="paragraph" w:customStyle="1" w:styleId="229">
    <w:name w:val="标准文件_术语条一"/>
    <w:basedOn w:val="168"/>
    <w:next w:val="62"/>
    <w:qFormat/>
    <w:uiPriority w:val="0"/>
  </w:style>
  <w:style w:type="paragraph" w:customStyle="1" w:styleId="230">
    <w:name w:val="标准文件_术语条二"/>
    <w:basedOn w:val="171"/>
    <w:next w:val="62"/>
    <w:qFormat/>
    <w:uiPriority w:val="0"/>
  </w:style>
  <w:style w:type="paragraph" w:customStyle="1" w:styleId="231">
    <w:name w:val="标准文件_术语条三"/>
    <w:basedOn w:val="170"/>
    <w:next w:val="62"/>
    <w:qFormat/>
    <w:uiPriority w:val="0"/>
  </w:style>
  <w:style w:type="paragraph" w:customStyle="1" w:styleId="232">
    <w:name w:val="标准文件_术语条四"/>
    <w:basedOn w:val="173"/>
    <w:next w:val="62"/>
    <w:qFormat/>
    <w:uiPriority w:val="0"/>
  </w:style>
  <w:style w:type="paragraph" w:customStyle="1" w:styleId="233">
    <w:name w:val="标准文件_术语条五"/>
    <w:basedOn w:val="169"/>
    <w:next w:val="62"/>
    <w:qFormat/>
    <w:uiPriority w:val="0"/>
  </w:style>
  <w:style w:type="paragraph" w:customStyle="1" w:styleId="234">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5">
    <w:name w:val="批注文字 字符"/>
    <w:basedOn w:val="32"/>
    <w:link w:val="13"/>
    <w:qFormat/>
    <w:uiPriority w:val="0"/>
    <w:rPr>
      <w:kern w:val="2"/>
      <w:sz w:val="21"/>
      <w:szCs w:val="24"/>
    </w:rPr>
  </w:style>
  <w:style w:type="paragraph" w:customStyle="1" w:styleId="236">
    <w:name w:val="TOC 81"/>
    <w:basedOn w:val="1"/>
    <w:next w:val="1"/>
    <w:unhideWhenUsed/>
    <w:qFormat/>
    <w:uiPriority w:val="39"/>
    <w:pPr>
      <w:adjustRightInd/>
      <w:spacing w:line="240" w:lineRule="auto"/>
      <w:ind w:left="2940" w:leftChars="1400"/>
    </w:pPr>
    <w:rPr>
      <w:szCs w:val="22"/>
    </w:rPr>
  </w:style>
  <w:style w:type="paragraph" w:customStyle="1" w:styleId="237">
    <w:name w:val="TOC 91"/>
    <w:basedOn w:val="1"/>
    <w:next w:val="1"/>
    <w:unhideWhenUsed/>
    <w:qFormat/>
    <w:uiPriority w:val="39"/>
    <w:pPr>
      <w:adjustRightInd/>
      <w:spacing w:line="240" w:lineRule="auto"/>
      <w:ind w:left="3360" w:leftChars="1600"/>
    </w:pPr>
    <w:rPr>
      <w:szCs w:val="22"/>
    </w:rPr>
  </w:style>
  <w:style w:type="character" w:customStyle="1" w:styleId="238">
    <w:name w:val="批注主题 字符"/>
    <w:basedOn w:val="235"/>
    <w:link w:val="29"/>
    <w:qFormat/>
    <w:uiPriority w:val="0"/>
    <w:rPr>
      <w:rFonts w:ascii="Times New Roman" w:hAnsi="Times New Roman"/>
      <w:b/>
      <w:bCs/>
      <w:kern w:val="2"/>
      <w:sz w:val="21"/>
      <w:szCs w:val="24"/>
    </w:rPr>
  </w:style>
  <w:style w:type="table" w:customStyle="1" w:styleId="239">
    <w:name w:val="网格型1"/>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0">
    <w:name w:val="访问过的超链接1"/>
    <w:basedOn w:val="32"/>
    <w:qFormat/>
    <w:uiPriority w:val="0"/>
    <w:rPr>
      <w:color w:val="954F72"/>
      <w:u w:val="single"/>
    </w:rPr>
  </w:style>
  <w:style w:type="paragraph" w:customStyle="1" w:styleId="24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42">
    <w:name w:val="段"/>
    <w:link w:val="25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43">
    <w:name w:val="目次、标准名称标题"/>
    <w:basedOn w:val="1"/>
    <w:next w:val="242"/>
    <w:qFormat/>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44">
    <w:name w:val="前言、引言标题"/>
    <w:next w:val="24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5">
    <w:name w:val="章标题"/>
    <w:next w:val="242"/>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246">
    <w:name w:val="一级条标题"/>
    <w:next w:val="242"/>
    <w:link w:val="286"/>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4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4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49">
    <w:name w:val="附录标识"/>
    <w:basedOn w:val="1"/>
    <w:next w:val="242"/>
    <w:qFormat/>
    <w:uiPriority w:val="0"/>
    <w:pPr>
      <w:keepNext/>
      <w:widowControl/>
      <w:numPr>
        <w:ilvl w:val="0"/>
        <w:numId w:val="32"/>
      </w:numPr>
      <w:shd w:val="clear" w:color="FFFFFF" w:fill="FFFFFF"/>
      <w:tabs>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50">
    <w:name w:val="列表段落1"/>
    <w:basedOn w:val="1"/>
    <w:qFormat/>
    <w:uiPriority w:val="99"/>
    <w:pPr>
      <w:adjustRightInd/>
      <w:spacing w:line="240" w:lineRule="auto"/>
      <w:ind w:firstLine="420" w:firstLineChars="200"/>
    </w:pPr>
    <w:rPr>
      <w:rFonts w:ascii="Times New Roman" w:hAnsi="Times New Roman"/>
      <w:szCs w:val="24"/>
    </w:rPr>
  </w:style>
  <w:style w:type="paragraph" w:customStyle="1" w:styleId="25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52">
    <w:name w:val="列表段落2"/>
    <w:basedOn w:val="1"/>
    <w:qFormat/>
    <w:uiPriority w:val="34"/>
    <w:pPr>
      <w:adjustRightInd/>
      <w:spacing w:line="240" w:lineRule="auto"/>
      <w:ind w:firstLine="420" w:firstLineChars="200"/>
    </w:pPr>
    <w:rPr>
      <w:rFonts w:ascii="Times New Roman" w:hAnsi="Times New Roman"/>
      <w:szCs w:val="24"/>
    </w:rPr>
  </w:style>
  <w:style w:type="character" w:customStyle="1" w:styleId="253">
    <w:name w:val="apple-converted-space"/>
    <w:basedOn w:val="32"/>
    <w:qFormat/>
    <w:uiPriority w:val="0"/>
  </w:style>
  <w:style w:type="character" w:customStyle="1" w:styleId="254">
    <w:name w:val="段 Char"/>
    <w:link w:val="242"/>
    <w:qFormat/>
    <w:uiPriority w:val="0"/>
    <w:rPr>
      <w:rFonts w:ascii="宋体"/>
      <w:sz w:val="21"/>
    </w:rPr>
  </w:style>
  <w:style w:type="paragraph" w:customStyle="1" w:styleId="255">
    <w:name w:val="二级条标题"/>
    <w:basedOn w:val="246"/>
    <w:next w:val="242"/>
    <w:qFormat/>
    <w:uiPriority w:val="0"/>
    <w:pPr>
      <w:spacing w:before="50" w:after="50"/>
      <w:outlineLvl w:val="3"/>
    </w:pPr>
    <w:rPr>
      <w:rFonts w:ascii="Times New Roman" w:eastAsia="宋体"/>
    </w:rPr>
  </w:style>
  <w:style w:type="paragraph" w:customStyle="1" w:styleId="256">
    <w:name w:val="列表段落3"/>
    <w:basedOn w:val="1"/>
    <w:qFormat/>
    <w:uiPriority w:val="34"/>
    <w:pPr>
      <w:adjustRightInd/>
      <w:spacing w:line="240" w:lineRule="auto"/>
      <w:ind w:firstLine="420" w:firstLineChars="200"/>
    </w:pPr>
    <w:rPr>
      <w:rFonts w:ascii="Times New Roman" w:hAnsi="Times New Roman"/>
      <w:szCs w:val="24"/>
    </w:rPr>
  </w:style>
  <w:style w:type="paragraph" w:customStyle="1" w:styleId="257">
    <w:name w:val="列表段落4"/>
    <w:basedOn w:val="1"/>
    <w:qFormat/>
    <w:uiPriority w:val="99"/>
    <w:pPr>
      <w:adjustRightInd/>
      <w:spacing w:line="240" w:lineRule="auto"/>
      <w:ind w:firstLine="420" w:firstLineChars="200"/>
    </w:pPr>
    <w:rPr>
      <w:rFonts w:ascii="Times New Roman" w:hAnsi="Times New Roman"/>
      <w:szCs w:val="24"/>
    </w:rPr>
  </w:style>
  <w:style w:type="character" w:customStyle="1" w:styleId="258">
    <w:name w:val="未处理的提及1"/>
    <w:basedOn w:val="32"/>
    <w:unhideWhenUsed/>
    <w:qFormat/>
    <w:uiPriority w:val="99"/>
    <w:rPr>
      <w:color w:val="605E5C"/>
      <w:shd w:val="clear" w:color="auto" w:fill="E1DFDD"/>
    </w:rPr>
  </w:style>
  <w:style w:type="paragraph" w:styleId="259">
    <w:name w:val="List Paragraph"/>
    <w:basedOn w:val="1"/>
    <w:link w:val="293"/>
    <w:qFormat/>
    <w:uiPriority w:val="99"/>
    <w:pPr>
      <w:adjustRightInd/>
      <w:spacing w:line="240" w:lineRule="auto"/>
      <w:ind w:firstLine="420" w:firstLineChars="200"/>
    </w:pPr>
    <w:rPr>
      <w:rFonts w:ascii="Times New Roman" w:hAnsi="Times New Roman"/>
      <w:szCs w:val="24"/>
    </w:rPr>
  </w:style>
  <w:style w:type="paragraph" w:customStyle="1" w:styleId="26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61">
    <w:name w:val="修订3"/>
    <w:hidden/>
    <w:semiHidden/>
    <w:qFormat/>
    <w:uiPriority w:val="99"/>
    <w:rPr>
      <w:rFonts w:ascii="Calibri" w:hAnsi="Calibri" w:eastAsia="宋体" w:cs="Times New Roman"/>
      <w:kern w:val="2"/>
      <w:sz w:val="21"/>
      <w:szCs w:val="21"/>
      <w:lang w:val="en-US" w:eastAsia="zh-CN" w:bidi="ar-SA"/>
    </w:rPr>
  </w:style>
  <w:style w:type="paragraph" w:customStyle="1" w:styleId="262">
    <w:name w:val="WPSOffice手动目录 1"/>
    <w:qFormat/>
    <w:uiPriority w:val="0"/>
    <w:rPr>
      <w:rFonts w:ascii="Calibri" w:hAnsi="Calibri" w:eastAsia="宋体" w:cs="Times New Roman"/>
      <w:lang w:val="en-US" w:eastAsia="zh-CN" w:bidi="ar-SA"/>
    </w:rPr>
  </w:style>
  <w:style w:type="paragraph" w:customStyle="1" w:styleId="263">
    <w:name w:val="WPSOffice手动目录 2"/>
    <w:qFormat/>
    <w:uiPriority w:val="0"/>
    <w:pPr>
      <w:ind w:left="200" w:leftChars="200"/>
    </w:pPr>
    <w:rPr>
      <w:rFonts w:ascii="Calibri" w:hAnsi="Calibri" w:eastAsia="宋体" w:cs="Times New Roman"/>
      <w:lang w:val="en-US" w:eastAsia="zh-CN" w:bidi="ar-SA"/>
    </w:rPr>
  </w:style>
  <w:style w:type="paragraph" w:customStyle="1" w:styleId="264">
    <w:name w:val="TOC 标题1"/>
    <w:basedOn w:val="2"/>
    <w:next w:val="1"/>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table" w:customStyle="1" w:styleId="265">
    <w:name w:val="网格型2"/>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网格型11"/>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7">
    <w:name w:val="TOC 标题11"/>
    <w:basedOn w:val="2"/>
    <w:next w:val="1"/>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68">
    <w:name w:val="Other|1"/>
    <w:basedOn w:val="1"/>
    <w:qFormat/>
    <w:uiPriority w:val="0"/>
    <w:rPr>
      <w:rFonts w:ascii="宋体" w:hAnsi="宋体" w:cs="宋体"/>
      <w:sz w:val="17"/>
      <w:szCs w:val="17"/>
      <w:lang w:val="zh-TW" w:eastAsia="zh-TW" w:bidi="zh-TW"/>
    </w:rPr>
  </w:style>
  <w:style w:type="paragraph" w:customStyle="1" w:styleId="269">
    <w:name w:val="Header or footer|2"/>
    <w:basedOn w:val="1"/>
    <w:qFormat/>
    <w:uiPriority w:val="0"/>
    <w:rPr>
      <w:sz w:val="20"/>
      <w:szCs w:val="20"/>
    </w:rPr>
  </w:style>
  <w:style w:type="paragraph" w:customStyle="1" w:styleId="270">
    <w:name w:val="Heading #3|1"/>
    <w:basedOn w:val="1"/>
    <w:qFormat/>
    <w:uiPriority w:val="0"/>
    <w:pPr>
      <w:spacing w:after="120" w:line="350" w:lineRule="exact"/>
      <w:jc w:val="center"/>
      <w:outlineLvl w:val="2"/>
    </w:pPr>
    <w:rPr>
      <w:rFonts w:ascii="宋体" w:hAnsi="宋体" w:cs="宋体"/>
      <w:sz w:val="20"/>
      <w:szCs w:val="20"/>
      <w:lang w:val="zh-TW" w:eastAsia="zh-TW" w:bidi="zh-TW"/>
    </w:rPr>
  </w:style>
  <w:style w:type="paragraph" w:customStyle="1" w:styleId="271">
    <w:name w:val="附录表标题"/>
    <w:basedOn w:val="1"/>
    <w:next w:val="242"/>
    <w:qFormat/>
    <w:uiPriority w:val="0"/>
    <w:pPr>
      <w:numPr>
        <w:ilvl w:val="1"/>
        <w:numId w:val="33"/>
      </w:numPr>
      <w:spacing w:beforeLines="50" w:afterLines="50"/>
      <w:jc w:val="center"/>
    </w:pPr>
    <w:rPr>
      <w:rFonts w:ascii="黑体" w:eastAsia="黑体"/>
    </w:rPr>
  </w:style>
  <w:style w:type="paragraph" w:customStyle="1" w:styleId="272">
    <w:name w:val="List Paragraph1"/>
    <w:basedOn w:val="1"/>
    <w:qFormat/>
    <w:uiPriority w:val="0"/>
    <w:pPr>
      <w:adjustRightInd/>
      <w:spacing w:line="240" w:lineRule="auto"/>
      <w:ind w:firstLine="420" w:firstLineChars="200"/>
    </w:pPr>
    <w:rPr>
      <w:rFonts w:ascii="Times New Roman" w:hAnsi="Times New Roman"/>
    </w:rPr>
  </w:style>
  <w:style w:type="paragraph" w:customStyle="1" w:styleId="273">
    <w:name w:val="一级符号列表"/>
    <w:basedOn w:val="1"/>
    <w:qFormat/>
    <w:uiPriority w:val="0"/>
    <w:pPr>
      <w:numPr>
        <w:ilvl w:val="0"/>
        <w:numId w:val="34"/>
      </w:numPr>
      <w:spacing w:line="360" w:lineRule="auto"/>
    </w:pPr>
    <w:rPr>
      <w:rFonts w:hint="eastAsia" w:ascii="宋体" w:hAnsi="宋体"/>
      <w:szCs w:val="20"/>
    </w:rPr>
  </w:style>
  <w:style w:type="paragraph" w:customStyle="1" w:styleId="274">
    <w:name w:val="msolistparagraph"/>
    <w:basedOn w:val="1"/>
    <w:qFormat/>
    <w:uiPriority w:val="0"/>
    <w:pPr>
      <w:ind w:firstLine="420" w:firstLineChars="200"/>
    </w:pPr>
  </w:style>
  <w:style w:type="paragraph" w:customStyle="1" w:styleId="275">
    <w:name w:val="字母编号列项（一级）"/>
    <w:qFormat/>
    <w:uiPriority w:val="0"/>
    <w:pPr>
      <w:jc w:val="both"/>
    </w:pPr>
    <w:rPr>
      <w:rFonts w:ascii="宋体" w:hAnsi="Times New Roman" w:eastAsia="宋体" w:cs="Times New Roman"/>
      <w:sz w:val="21"/>
      <w:lang w:val="en-US" w:eastAsia="zh-CN" w:bidi="ar-SA"/>
    </w:rPr>
  </w:style>
  <w:style w:type="paragraph" w:customStyle="1" w:styleId="276">
    <w:name w:val="修订4"/>
    <w:hidden/>
    <w:semiHidden/>
    <w:qFormat/>
    <w:uiPriority w:val="99"/>
    <w:rPr>
      <w:rFonts w:ascii="Calibri" w:hAnsi="Calibri" w:eastAsia="宋体" w:cs="Times New Roman"/>
      <w:kern w:val="2"/>
      <w:sz w:val="21"/>
      <w:szCs w:val="21"/>
      <w:lang w:val="en-US" w:eastAsia="zh-CN" w:bidi="ar-SA"/>
    </w:rPr>
  </w:style>
  <w:style w:type="paragraph" w:customStyle="1" w:styleId="277">
    <w:name w:val="修订5"/>
    <w:hidden/>
    <w:semiHidden/>
    <w:qFormat/>
    <w:uiPriority w:val="99"/>
    <w:rPr>
      <w:rFonts w:ascii="Calibri" w:hAnsi="Calibri" w:eastAsia="宋体" w:cs="Times New Roman"/>
      <w:kern w:val="2"/>
      <w:sz w:val="21"/>
      <w:szCs w:val="21"/>
      <w:lang w:val="en-US" w:eastAsia="zh-CN" w:bidi="ar-SA"/>
    </w:rPr>
  </w:style>
  <w:style w:type="character" w:customStyle="1" w:styleId="278">
    <w:name w:val="fontstyle01"/>
    <w:basedOn w:val="32"/>
    <w:qFormat/>
    <w:uiPriority w:val="0"/>
    <w:rPr>
      <w:rFonts w:hint="eastAsia" w:ascii="宋体" w:hAnsi="宋体" w:eastAsia="宋体"/>
      <w:color w:val="000000"/>
      <w:sz w:val="22"/>
      <w:szCs w:val="22"/>
    </w:rPr>
  </w:style>
  <w:style w:type="character" w:customStyle="1" w:styleId="279">
    <w:name w:val="fontstyle11"/>
    <w:basedOn w:val="32"/>
    <w:qFormat/>
    <w:uiPriority w:val="0"/>
    <w:rPr>
      <w:rFonts w:hint="default" w:ascii="TimesNewRomanPSMT" w:hAnsi="TimesNewRomanPSMT"/>
      <w:color w:val="000000"/>
      <w:sz w:val="22"/>
      <w:szCs w:val="22"/>
    </w:rPr>
  </w:style>
  <w:style w:type="paragraph" w:customStyle="1" w:styleId="280">
    <w:name w:val="修订6"/>
    <w:hidden/>
    <w:semiHidden/>
    <w:qFormat/>
    <w:uiPriority w:val="99"/>
    <w:rPr>
      <w:rFonts w:ascii="Calibri" w:hAnsi="Calibri" w:eastAsia="宋体" w:cs="Times New Roman"/>
      <w:kern w:val="2"/>
      <w:sz w:val="21"/>
      <w:szCs w:val="21"/>
      <w:lang w:val="en-US" w:eastAsia="zh-CN" w:bidi="ar-SA"/>
    </w:rPr>
  </w:style>
  <w:style w:type="paragraph" w:customStyle="1" w:styleId="281">
    <w:name w:val="修订7"/>
    <w:hidden/>
    <w:semiHidden/>
    <w:qFormat/>
    <w:uiPriority w:val="99"/>
    <w:rPr>
      <w:rFonts w:ascii="Calibri" w:hAnsi="Calibri" w:eastAsia="宋体" w:cs="Times New Roman"/>
      <w:kern w:val="2"/>
      <w:sz w:val="21"/>
      <w:szCs w:val="21"/>
      <w:lang w:val="en-US" w:eastAsia="zh-CN" w:bidi="ar-SA"/>
    </w:rPr>
  </w:style>
  <w:style w:type="paragraph" w:customStyle="1" w:styleId="282">
    <w:name w:val="修订8"/>
    <w:hidden/>
    <w:semiHidden/>
    <w:qFormat/>
    <w:uiPriority w:val="99"/>
    <w:rPr>
      <w:rFonts w:ascii="Calibri" w:hAnsi="Calibri" w:eastAsia="宋体" w:cs="Times New Roman"/>
      <w:kern w:val="2"/>
      <w:sz w:val="21"/>
      <w:szCs w:val="21"/>
      <w:lang w:val="en-US" w:eastAsia="zh-CN" w:bidi="ar-SA"/>
    </w:rPr>
  </w:style>
  <w:style w:type="paragraph" w:customStyle="1" w:styleId="283">
    <w:name w:val="三级条标题"/>
    <w:basedOn w:val="255"/>
    <w:next w:val="242"/>
    <w:qFormat/>
    <w:uiPriority w:val="0"/>
    <w:pPr>
      <w:tabs>
        <w:tab w:val="left" w:pos="0"/>
        <w:tab w:val="left" w:pos="360"/>
      </w:tabs>
      <w:outlineLvl w:val="4"/>
    </w:pPr>
    <w:rPr>
      <w:rFonts w:ascii="黑体" w:hAnsi="黑体" w:eastAsia="黑体"/>
    </w:rPr>
  </w:style>
  <w:style w:type="paragraph" w:customStyle="1" w:styleId="284">
    <w:name w:val="四级条标题"/>
    <w:basedOn w:val="283"/>
    <w:next w:val="242"/>
    <w:qFormat/>
    <w:uiPriority w:val="0"/>
    <w:pPr>
      <w:outlineLvl w:val="5"/>
    </w:pPr>
  </w:style>
  <w:style w:type="paragraph" w:customStyle="1" w:styleId="285">
    <w:name w:val="五级条标题"/>
    <w:basedOn w:val="284"/>
    <w:next w:val="242"/>
    <w:qFormat/>
    <w:uiPriority w:val="0"/>
    <w:pPr>
      <w:outlineLvl w:val="6"/>
    </w:pPr>
  </w:style>
  <w:style w:type="character" w:customStyle="1" w:styleId="286">
    <w:name w:val="一级条标题 Char"/>
    <w:link w:val="246"/>
    <w:qFormat/>
    <w:uiPriority w:val="0"/>
    <w:rPr>
      <w:rFonts w:ascii="黑体" w:eastAsia="黑体"/>
      <w:sz w:val="21"/>
      <w:szCs w:val="21"/>
    </w:rPr>
  </w:style>
  <w:style w:type="paragraph" w:customStyle="1" w:styleId="287">
    <w:name w:val="修订9"/>
    <w:hidden/>
    <w:semiHidden/>
    <w:qFormat/>
    <w:uiPriority w:val="99"/>
    <w:rPr>
      <w:rFonts w:ascii="Calibri" w:hAnsi="Calibri" w:eastAsia="宋体" w:cs="Times New Roman"/>
      <w:kern w:val="2"/>
      <w:sz w:val="21"/>
      <w:szCs w:val="21"/>
      <w:lang w:val="en-US" w:eastAsia="zh-CN" w:bidi="ar-SA"/>
    </w:rPr>
  </w:style>
  <w:style w:type="character" w:customStyle="1" w:styleId="288">
    <w:name w:val="日期 字符"/>
    <w:basedOn w:val="32"/>
    <w:link w:val="17"/>
    <w:semiHidden/>
    <w:qFormat/>
    <w:uiPriority w:val="99"/>
    <w:rPr>
      <w:rFonts w:ascii="Calibri" w:hAnsi="Calibri"/>
      <w:kern w:val="2"/>
      <w:sz w:val="21"/>
      <w:szCs w:val="21"/>
    </w:rPr>
  </w:style>
  <w:style w:type="paragraph" w:customStyle="1" w:styleId="289">
    <w:name w:val="修订10"/>
    <w:hidden/>
    <w:semiHidden/>
    <w:qFormat/>
    <w:uiPriority w:val="99"/>
    <w:rPr>
      <w:rFonts w:ascii="Calibri" w:hAnsi="Calibri" w:eastAsia="宋体" w:cs="Times New Roman"/>
      <w:kern w:val="2"/>
      <w:sz w:val="21"/>
      <w:szCs w:val="21"/>
      <w:lang w:val="en-US" w:eastAsia="zh-CN" w:bidi="ar-SA"/>
    </w:rPr>
  </w:style>
  <w:style w:type="paragraph" w:customStyle="1" w:styleId="290">
    <w:name w:val="修订11"/>
    <w:hidden/>
    <w:semiHidden/>
    <w:qFormat/>
    <w:uiPriority w:val="99"/>
    <w:rPr>
      <w:rFonts w:ascii="Calibri" w:hAnsi="Calibri" w:eastAsia="宋体" w:cs="Times New Roman"/>
      <w:kern w:val="2"/>
      <w:sz w:val="21"/>
      <w:szCs w:val="21"/>
      <w:lang w:val="en-US" w:eastAsia="zh-CN" w:bidi="ar-SA"/>
    </w:rPr>
  </w:style>
  <w:style w:type="paragraph" w:customStyle="1" w:styleId="291">
    <w:name w:val="修订12"/>
    <w:hidden/>
    <w:semiHidden/>
    <w:qFormat/>
    <w:uiPriority w:val="99"/>
    <w:rPr>
      <w:rFonts w:ascii="Calibri" w:hAnsi="Calibri" w:eastAsia="宋体" w:cs="Times New Roman"/>
      <w:kern w:val="2"/>
      <w:sz w:val="21"/>
      <w:szCs w:val="21"/>
      <w:lang w:val="en-US" w:eastAsia="zh-CN" w:bidi="ar-SA"/>
    </w:rPr>
  </w:style>
  <w:style w:type="paragraph" w:customStyle="1" w:styleId="292">
    <w:name w:val="正文列表2"/>
    <w:basedOn w:val="259"/>
    <w:link w:val="294"/>
    <w:qFormat/>
    <w:uiPriority w:val="0"/>
    <w:pPr>
      <w:numPr>
        <w:ilvl w:val="0"/>
        <w:numId w:val="35"/>
      </w:numPr>
      <w:tabs>
        <w:tab w:val="left" w:pos="420"/>
      </w:tabs>
      <w:ind w:firstLine="0" w:firstLineChars="0"/>
    </w:pPr>
    <w:rPr>
      <w:snapToGrid w:val="0"/>
    </w:rPr>
  </w:style>
  <w:style w:type="character" w:customStyle="1" w:styleId="293">
    <w:name w:val="列表段落 字符"/>
    <w:basedOn w:val="32"/>
    <w:link w:val="259"/>
    <w:qFormat/>
    <w:uiPriority w:val="99"/>
    <w:rPr>
      <w:kern w:val="2"/>
      <w:sz w:val="21"/>
      <w:szCs w:val="24"/>
    </w:rPr>
  </w:style>
  <w:style w:type="character" w:customStyle="1" w:styleId="294">
    <w:name w:val="正文列表2 字符"/>
    <w:basedOn w:val="293"/>
    <w:link w:val="292"/>
    <w:qFormat/>
    <w:uiPriority w:val="0"/>
    <w:rPr>
      <w:snapToGrid w:val="0"/>
      <w:kern w:val="2"/>
      <w:sz w:val="21"/>
      <w:szCs w:val="24"/>
    </w:rPr>
  </w:style>
  <w:style w:type="paragraph" w:customStyle="1" w:styleId="295">
    <w:name w:val="修订13"/>
    <w:hidden/>
    <w:semiHidden/>
    <w:qFormat/>
    <w:uiPriority w:val="99"/>
    <w:rPr>
      <w:rFonts w:ascii="Calibri" w:hAnsi="Calibri" w:eastAsia="宋体" w:cs="Times New Roman"/>
      <w:kern w:val="2"/>
      <w:sz w:val="21"/>
      <w:szCs w:val="21"/>
      <w:lang w:val="en-US" w:eastAsia="zh-CN" w:bidi="ar-SA"/>
    </w:rPr>
  </w:style>
  <w:style w:type="paragraph" w:customStyle="1" w:styleId="296">
    <w:name w:val="修订14"/>
    <w:hidden/>
    <w:unhideWhenUsed/>
    <w:qFormat/>
    <w:uiPriority w:val="99"/>
    <w:rPr>
      <w:rFonts w:ascii="Calibri" w:hAnsi="Calibri" w:eastAsia="宋体" w:cs="Times New Roman"/>
      <w:kern w:val="2"/>
      <w:sz w:val="21"/>
      <w:szCs w:val="21"/>
      <w:lang w:val="en-US" w:eastAsia="zh-CN" w:bidi="ar-SA"/>
    </w:rPr>
  </w:style>
  <w:style w:type="character" w:customStyle="1" w:styleId="297">
    <w:name w:val="spz"/>
    <w:qFormat/>
    <w:uiPriority w:val="0"/>
  </w:style>
  <w:style w:type="character" w:customStyle="1" w:styleId="298">
    <w:name w:val="red"/>
    <w:qFormat/>
    <w:uiPriority w:val="0"/>
  </w:style>
  <w:style w:type="paragraph" w:customStyle="1" w:styleId="299">
    <w:name w:val="注：（正文）"/>
    <w:basedOn w:val="300"/>
    <w:next w:val="242"/>
    <w:qFormat/>
    <w:uiPriority w:val="0"/>
  </w:style>
  <w:style w:type="paragraph" w:customStyle="1" w:styleId="300">
    <w:name w:val="注："/>
    <w:next w:val="242"/>
    <w:qFormat/>
    <w:uiPriority w:val="0"/>
    <w:pPr>
      <w:widowControl w:val="0"/>
      <w:autoSpaceDE w:val="0"/>
      <w:autoSpaceDN w:val="0"/>
      <w:jc w:val="both"/>
    </w:pPr>
    <w:rPr>
      <w:rFonts w:ascii="宋体" w:hAnsi="Calibri" w:eastAsia="宋体" w:cs="宋体"/>
      <w:sz w:val="18"/>
      <w:szCs w:val="18"/>
      <w:lang w:val="en-US" w:eastAsia="zh-CN" w:bidi="ar-SA"/>
    </w:rPr>
  </w:style>
  <w:style w:type="paragraph" w:customStyle="1" w:styleId="301">
    <w:name w:val="修订15"/>
    <w:hidden/>
    <w:unhideWhenUsed/>
    <w:qFormat/>
    <w:uiPriority w:val="99"/>
    <w:rPr>
      <w:rFonts w:ascii="Calibri" w:hAnsi="Calibri" w:eastAsia="宋体" w:cs="Times New Roman"/>
      <w:kern w:val="2"/>
      <w:sz w:val="21"/>
      <w:szCs w:val="21"/>
      <w:lang w:val="en-US" w:eastAsia="zh-CN" w:bidi="ar-SA"/>
    </w:rPr>
  </w:style>
  <w:style w:type="paragraph" w:customStyle="1" w:styleId="302">
    <w:name w:val="修订16"/>
    <w:hidden/>
    <w:unhideWhenUsed/>
    <w:qFormat/>
    <w:uiPriority w:val="99"/>
    <w:rPr>
      <w:rFonts w:ascii="Calibri" w:hAnsi="Calibri" w:eastAsia="宋体" w:cs="Times New Roman"/>
      <w:kern w:val="2"/>
      <w:sz w:val="21"/>
      <w:szCs w:val="21"/>
      <w:lang w:val="en-US" w:eastAsia="zh-CN" w:bidi="ar-SA"/>
    </w:rPr>
  </w:style>
  <w:style w:type="paragraph" w:customStyle="1" w:styleId="303">
    <w:name w:val="修订17"/>
    <w:hidden/>
    <w:unhideWhenUsed/>
    <w:qFormat/>
    <w:uiPriority w:val="99"/>
    <w:rPr>
      <w:rFonts w:ascii="Calibri" w:hAnsi="Calibri" w:eastAsia="宋体" w:cs="Times New Roman"/>
      <w:kern w:val="2"/>
      <w:sz w:val="21"/>
      <w:szCs w:val="21"/>
      <w:lang w:val="en-US" w:eastAsia="zh-CN" w:bidi="ar-SA"/>
    </w:rPr>
  </w:style>
  <w:style w:type="paragraph" w:customStyle="1" w:styleId="304">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emf"/><Relationship Id="rId23" Type="http://schemas.openxmlformats.org/officeDocument/2006/relationships/image" Target="media/image2.tiff"/><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D72967043304084A6156D0C25331EB5"/>
        <w:style w:val=""/>
        <w:category>
          <w:name w:val="常规"/>
          <w:gallery w:val="placeholder"/>
        </w:category>
        <w:types>
          <w:type w:val="bbPlcHdr"/>
        </w:types>
        <w:behaviors>
          <w:behavior w:val="content"/>
        </w:behaviors>
        <w:description w:val=""/>
        <w:guid w:val="{39E10FDD-B9E8-4AEB-B087-2D1FE9B865F2}"/>
      </w:docPartPr>
      <w:docPartBody>
        <w:p w14:paraId="7966888D">
          <w:pPr>
            <w:pStyle w:val="5"/>
          </w:pPr>
          <w:r>
            <w:rPr>
              <w:rStyle w:val="4"/>
              <w:rFonts w:hint="eastAsia"/>
            </w:rPr>
            <w:t>单击或点击此处输入文字。</w:t>
          </w:r>
        </w:p>
      </w:docPartBody>
    </w:docPart>
    <w:docPart>
      <w:docPartPr>
        <w:name w:val="85D7B0AC2C9B430B878EB7A4A53F219D"/>
        <w:style w:val=""/>
        <w:category>
          <w:name w:val="常规"/>
          <w:gallery w:val="placeholder"/>
        </w:category>
        <w:types>
          <w:type w:val="bbPlcHdr"/>
        </w:types>
        <w:behaviors>
          <w:behavior w:val="content"/>
        </w:behaviors>
        <w:description w:val=""/>
        <w:guid w:val="{2E7221CC-956E-4A3D-BA56-995911660F75}"/>
      </w:docPartPr>
      <w:docPartBody>
        <w:p w14:paraId="4BE27F48">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A3D"/>
    <w:rsid w:val="000015F6"/>
    <w:rsid w:val="00001A6B"/>
    <w:rsid w:val="00006188"/>
    <w:rsid w:val="000153D3"/>
    <w:rsid w:val="00034C07"/>
    <w:rsid w:val="00050887"/>
    <w:rsid w:val="000618AE"/>
    <w:rsid w:val="00080B30"/>
    <w:rsid w:val="00081061"/>
    <w:rsid w:val="000A1E00"/>
    <w:rsid w:val="000D17A0"/>
    <w:rsid w:val="000D52C1"/>
    <w:rsid w:val="000E6A3D"/>
    <w:rsid w:val="000F1991"/>
    <w:rsid w:val="000F3E95"/>
    <w:rsid w:val="000F4200"/>
    <w:rsid w:val="000F47D4"/>
    <w:rsid w:val="0010731D"/>
    <w:rsid w:val="00110203"/>
    <w:rsid w:val="0011176D"/>
    <w:rsid w:val="001214D9"/>
    <w:rsid w:val="00122C7E"/>
    <w:rsid w:val="0012607B"/>
    <w:rsid w:val="00126B1B"/>
    <w:rsid w:val="001725FF"/>
    <w:rsid w:val="00183CBC"/>
    <w:rsid w:val="00186B64"/>
    <w:rsid w:val="00195D37"/>
    <w:rsid w:val="001A639E"/>
    <w:rsid w:val="001B268A"/>
    <w:rsid w:val="001C74A9"/>
    <w:rsid w:val="001D2013"/>
    <w:rsid w:val="001E3018"/>
    <w:rsid w:val="002205C0"/>
    <w:rsid w:val="00235C71"/>
    <w:rsid w:val="00243D55"/>
    <w:rsid w:val="00244542"/>
    <w:rsid w:val="0025027A"/>
    <w:rsid w:val="002530F6"/>
    <w:rsid w:val="00261D25"/>
    <w:rsid w:val="00277E4E"/>
    <w:rsid w:val="002824C0"/>
    <w:rsid w:val="00294154"/>
    <w:rsid w:val="00297992"/>
    <w:rsid w:val="002A3310"/>
    <w:rsid w:val="002B723A"/>
    <w:rsid w:val="002D3B7C"/>
    <w:rsid w:val="002E2D3A"/>
    <w:rsid w:val="002F298E"/>
    <w:rsid w:val="002F7B18"/>
    <w:rsid w:val="0032607D"/>
    <w:rsid w:val="00342033"/>
    <w:rsid w:val="003423F7"/>
    <w:rsid w:val="003515FA"/>
    <w:rsid w:val="00391961"/>
    <w:rsid w:val="003B1661"/>
    <w:rsid w:val="003B1A4C"/>
    <w:rsid w:val="003B4209"/>
    <w:rsid w:val="003E0072"/>
    <w:rsid w:val="00412207"/>
    <w:rsid w:val="00424EF1"/>
    <w:rsid w:val="0045718E"/>
    <w:rsid w:val="00475ADE"/>
    <w:rsid w:val="00476C51"/>
    <w:rsid w:val="004806F8"/>
    <w:rsid w:val="00481B23"/>
    <w:rsid w:val="004A109E"/>
    <w:rsid w:val="004C0CAE"/>
    <w:rsid w:val="004C5179"/>
    <w:rsid w:val="004D0E23"/>
    <w:rsid w:val="004D6FB0"/>
    <w:rsid w:val="004E111D"/>
    <w:rsid w:val="005021A7"/>
    <w:rsid w:val="005045A6"/>
    <w:rsid w:val="00513650"/>
    <w:rsid w:val="00516D43"/>
    <w:rsid w:val="00521559"/>
    <w:rsid w:val="00530ABB"/>
    <w:rsid w:val="00591120"/>
    <w:rsid w:val="00593D72"/>
    <w:rsid w:val="005A0229"/>
    <w:rsid w:val="005C1908"/>
    <w:rsid w:val="005D4A81"/>
    <w:rsid w:val="005F2331"/>
    <w:rsid w:val="00600C10"/>
    <w:rsid w:val="00602B55"/>
    <w:rsid w:val="006304C2"/>
    <w:rsid w:val="00647ED9"/>
    <w:rsid w:val="006868E0"/>
    <w:rsid w:val="0069492A"/>
    <w:rsid w:val="00694D6F"/>
    <w:rsid w:val="006959C9"/>
    <w:rsid w:val="006A7ADA"/>
    <w:rsid w:val="006B3D6E"/>
    <w:rsid w:val="006B44F0"/>
    <w:rsid w:val="006B5299"/>
    <w:rsid w:val="006C4456"/>
    <w:rsid w:val="006F16F4"/>
    <w:rsid w:val="00703C18"/>
    <w:rsid w:val="007424F1"/>
    <w:rsid w:val="00744394"/>
    <w:rsid w:val="007451E6"/>
    <w:rsid w:val="007643DC"/>
    <w:rsid w:val="007652BA"/>
    <w:rsid w:val="007710DB"/>
    <w:rsid w:val="00780209"/>
    <w:rsid w:val="0079147D"/>
    <w:rsid w:val="007B18FB"/>
    <w:rsid w:val="007B51FD"/>
    <w:rsid w:val="007C5A41"/>
    <w:rsid w:val="007F0AC0"/>
    <w:rsid w:val="007F3CB5"/>
    <w:rsid w:val="007F7DAC"/>
    <w:rsid w:val="008109E6"/>
    <w:rsid w:val="0081458E"/>
    <w:rsid w:val="008276EC"/>
    <w:rsid w:val="00834569"/>
    <w:rsid w:val="00842111"/>
    <w:rsid w:val="00852524"/>
    <w:rsid w:val="00855599"/>
    <w:rsid w:val="00867800"/>
    <w:rsid w:val="00872FE6"/>
    <w:rsid w:val="00873DFF"/>
    <w:rsid w:val="008806A4"/>
    <w:rsid w:val="00893EF0"/>
    <w:rsid w:val="008B111B"/>
    <w:rsid w:val="008C4B15"/>
    <w:rsid w:val="008C6E08"/>
    <w:rsid w:val="008F3E57"/>
    <w:rsid w:val="008F4C87"/>
    <w:rsid w:val="0092146A"/>
    <w:rsid w:val="009250CB"/>
    <w:rsid w:val="009259C9"/>
    <w:rsid w:val="00934648"/>
    <w:rsid w:val="00935521"/>
    <w:rsid w:val="00963746"/>
    <w:rsid w:val="00985684"/>
    <w:rsid w:val="00987B17"/>
    <w:rsid w:val="009A3072"/>
    <w:rsid w:val="009E27D6"/>
    <w:rsid w:val="009E4F39"/>
    <w:rsid w:val="00A332F6"/>
    <w:rsid w:val="00A501FD"/>
    <w:rsid w:val="00A53E6B"/>
    <w:rsid w:val="00A55A29"/>
    <w:rsid w:val="00A67A2F"/>
    <w:rsid w:val="00A81201"/>
    <w:rsid w:val="00AB0411"/>
    <w:rsid w:val="00AC5D20"/>
    <w:rsid w:val="00AC6397"/>
    <w:rsid w:val="00AD4CFC"/>
    <w:rsid w:val="00AF6B97"/>
    <w:rsid w:val="00B073DC"/>
    <w:rsid w:val="00B327B0"/>
    <w:rsid w:val="00B462E0"/>
    <w:rsid w:val="00B7099F"/>
    <w:rsid w:val="00B761A0"/>
    <w:rsid w:val="00B8232F"/>
    <w:rsid w:val="00B836CE"/>
    <w:rsid w:val="00BB5EA2"/>
    <w:rsid w:val="00BB6F20"/>
    <w:rsid w:val="00BC4D0A"/>
    <w:rsid w:val="00BE2092"/>
    <w:rsid w:val="00BE6011"/>
    <w:rsid w:val="00C024F2"/>
    <w:rsid w:val="00C1461B"/>
    <w:rsid w:val="00C258B6"/>
    <w:rsid w:val="00C259E3"/>
    <w:rsid w:val="00C26CDE"/>
    <w:rsid w:val="00C30B4A"/>
    <w:rsid w:val="00C35CC9"/>
    <w:rsid w:val="00C726B9"/>
    <w:rsid w:val="00CA09E4"/>
    <w:rsid w:val="00CA38CE"/>
    <w:rsid w:val="00CA75E0"/>
    <w:rsid w:val="00CF6FD2"/>
    <w:rsid w:val="00D023C0"/>
    <w:rsid w:val="00D1498A"/>
    <w:rsid w:val="00D25DE3"/>
    <w:rsid w:val="00D30A08"/>
    <w:rsid w:val="00D35CAD"/>
    <w:rsid w:val="00D36611"/>
    <w:rsid w:val="00D408D3"/>
    <w:rsid w:val="00D45E47"/>
    <w:rsid w:val="00D65091"/>
    <w:rsid w:val="00D73C5D"/>
    <w:rsid w:val="00D85985"/>
    <w:rsid w:val="00D91DDC"/>
    <w:rsid w:val="00DA2157"/>
    <w:rsid w:val="00DB254F"/>
    <w:rsid w:val="00DB7465"/>
    <w:rsid w:val="00DD41B3"/>
    <w:rsid w:val="00DE351C"/>
    <w:rsid w:val="00DF3CA2"/>
    <w:rsid w:val="00E03988"/>
    <w:rsid w:val="00E069D9"/>
    <w:rsid w:val="00E61446"/>
    <w:rsid w:val="00E8148C"/>
    <w:rsid w:val="00E86EA5"/>
    <w:rsid w:val="00E9228F"/>
    <w:rsid w:val="00EC3B11"/>
    <w:rsid w:val="00ED0C61"/>
    <w:rsid w:val="00ED4F29"/>
    <w:rsid w:val="00EE3280"/>
    <w:rsid w:val="00EE3363"/>
    <w:rsid w:val="00EE6AE6"/>
    <w:rsid w:val="00F01AB6"/>
    <w:rsid w:val="00F05F75"/>
    <w:rsid w:val="00F1529D"/>
    <w:rsid w:val="00F23357"/>
    <w:rsid w:val="00F528FE"/>
    <w:rsid w:val="00F538A3"/>
    <w:rsid w:val="00F57901"/>
    <w:rsid w:val="00F72DCD"/>
    <w:rsid w:val="00FC68EF"/>
    <w:rsid w:val="00FD2505"/>
    <w:rsid w:val="00FE2D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D72967043304084A6156D0C25331E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5D7B0AC2C9B430B878EB7A4A53F219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16</Pages>
  <Words>7949</Words>
  <Characters>8532</Characters>
  <Lines>77</Lines>
  <Paragraphs>21</Paragraphs>
  <TotalTime>1</TotalTime>
  <ScaleCrop>false</ScaleCrop>
  <LinksUpToDate>false</LinksUpToDate>
  <CharactersWithSpaces>8779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2025-10-30T02:03:00Z</dcterms:created>
  <dc:creator>徐羽佳</dc:creator>
  <dc:description>&lt;config cover="true" show_menu="true" version="1.0.0" doctype="SDKXY"&gt;_x000d_
&lt;/config&gt;</dc:description>
  <cp:lastModifiedBy>高晨涛</cp:lastModifiedBy>
  <cp:lastPrinted>2025-10-03T17:41:00Z</cp:lastPrinted>
  <dcterms:modified xsi:type="dcterms:W3CDTF">2025-10-30T03:26:30Z</dcterms:modified>
  <dc:title>国家标准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6345E17F33DA4FD58B82064C8F8723A6_13</vt:lpwstr>
  </property>
  <property fmtid="{D5CDD505-2E9C-101B-9397-08002B2CF9AE}" pid="16" name="KSOTemplateDocerSaveRecord">
    <vt:lpwstr>eyJoZGlkIjoiOTEzMjZhOGNlYjBiOTM5Mjg2OGM3ZDIwNzlmMTI2MTkiLCJ1c2VySWQiOiIzODUyNDc1NzYifQ==</vt:lpwstr>
  </property>
</Properties>
</file>